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20" w:type="dxa"/>
        <w:tblLayout w:type="fixed"/>
        <w:tblLook w:val="01E0" w:firstRow="1" w:lastRow="1" w:firstColumn="1" w:lastColumn="1" w:noHBand="0" w:noVBand="0"/>
      </w:tblPr>
      <w:tblGrid>
        <w:gridCol w:w="9575"/>
      </w:tblGrid>
      <w:tr w:rsidR="00D4163A">
        <w:trPr>
          <w:trHeight w:val="10941"/>
        </w:trPr>
        <w:tc>
          <w:tcPr>
            <w:tcW w:w="9575" w:type="dxa"/>
          </w:tcPr>
          <w:p w:rsidR="00D4163A" w:rsidRDefault="004012F1">
            <w:pPr>
              <w:pStyle w:val="TableParagraph"/>
              <w:ind w:right="198"/>
              <w:jc w:val="both"/>
              <w:rPr>
                <w:sz w:val="28"/>
              </w:rPr>
            </w:pPr>
            <w:r>
              <w:rPr>
                <w:sz w:val="28"/>
              </w:rPr>
              <w:t xml:space="preserve">КРЕДИТНА ПРИКАРПАТТЯ (далі – «кредитна спілка») відповідно </w:t>
            </w:r>
            <w:r>
              <w:rPr>
                <w:spacing w:val="2"/>
                <w:sz w:val="28"/>
              </w:rPr>
              <w:t xml:space="preserve">до </w:t>
            </w:r>
            <w:r>
              <w:rPr>
                <w:sz w:val="28"/>
              </w:rPr>
              <w:t>Статуту та за наявності необхідних ліцензій надає наступні види фінансових послуг громадянам України, іноземцям та особам без громадянства, які об'єднані ознакою членства в кредитній спілці – належать до професійної спілки атестованих працівників органів внутрішніх справ України, а</w:t>
            </w:r>
            <w:r>
              <w:rPr>
                <w:spacing w:val="3"/>
                <w:sz w:val="28"/>
              </w:rPr>
              <w:t xml:space="preserve"> </w:t>
            </w:r>
            <w:r>
              <w:rPr>
                <w:sz w:val="28"/>
              </w:rPr>
              <w:t>саме:</w:t>
            </w:r>
          </w:p>
          <w:p w:rsidR="00D4163A" w:rsidRDefault="004012F1">
            <w:pPr>
              <w:pStyle w:val="TableParagraph"/>
              <w:numPr>
                <w:ilvl w:val="0"/>
                <w:numId w:val="6"/>
              </w:numPr>
              <w:tabs>
                <w:tab w:val="left" w:pos="600"/>
              </w:tabs>
              <w:spacing w:line="242" w:lineRule="auto"/>
              <w:ind w:right="207" w:firstLine="0"/>
              <w:jc w:val="both"/>
              <w:rPr>
                <w:sz w:val="28"/>
              </w:rPr>
            </w:pPr>
            <w:r>
              <w:rPr>
                <w:sz w:val="28"/>
              </w:rPr>
              <w:t>залучення фінансових активів із зобов’язанням щодо наступного їх повернення;</w:t>
            </w:r>
          </w:p>
          <w:p w:rsidR="00D4163A" w:rsidRDefault="004012F1">
            <w:pPr>
              <w:pStyle w:val="TableParagraph"/>
              <w:numPr>
                <w:ilvl w:val="0"/>
                <w:numId w:val="6"/>
              </w:numPr>
              <w:tabs>
                <w:tab w:val="left" w:pos="504"/>
              </w:tabs>
              <w:spacing w:line="316" w:lineRule="exact"/>
              <w:ind w:left="503" w:hanging="304"/>
              <w:jc w:val="both"/>
              <w:rPr>
                <w:sz w:val="28"/>
              </w:rPr>
            </w:pPr>
            <w:r>
              <w:rPr>
                <w:sz w:val="28"/>
              </w:rPr>
              <w:t>надання коштів у позику, в тому числі і на умовах фінансового</w:t>
            </w:r>
            <w:r>
              <w:rPr>
                <w:spacing w:val="-24"/>
                <w:sz w:val="28"/>
              </w:rPr>
              <w:t xml:space="preserve"> </w:t>
            </w:r>
            <w:r>
              <w:rPr>
                <w:sz w:val="28"/>
              </w:rPr>
              <w:t>кредиту.</w:t>
            </w:r>
          </w:p>
          <w:p w:rsidR="00D4163A" w:rsidRDefault="00D4163A">
            <w:pPr>
              <w:pStyle w:val="TableParagraph"/>
              <w:spacing w:before="7"/>
              <w:ind w:left="0"/>
              <w:rPr>
                <w:sz w:val="26"/>
              </w:rPr>
            </w:pPr>
          </w:p>
          <w:p w:rsidR="00D4163A" w:rsidRDefault="004012F1">
            <w:pPr>
              <w:pStyle w:val="TableParagraph"/>
              <w:spacing w:before="1"/>
              <w:ind w:right="197"/>
              <w:jc w:val="both"/>
              <w:rPr>
                <w:sz w:val="28"/>
              </w:rPr>
            </w:pPr>
            <w:r>
              <w:rPr>
                <w:sz w:val="28"/>
              </w:rPr>
              <w:t>Згідно частини другої статті 10 Закону України «Про кредитні спілки» не можуть бути прийняті до кредитної спілки особи, які за рішенням суду визнані недієздатними або обмежено дієздатними, особи, які відбувають покарання у вигляді позбавлення волі, а також особи, що мають  непогашену судимість за корисливі</w:t>
            </w:r>
            <w:r>
              <w:rPr>
                <w:spacing w:val="-4"/>
                <w:sz w:val="28"/>
              </w:rPr>
              <w:t xml:space="preserve"> </w:t>
            </w:r>
            <w:r>
              <w:rPr>
                <w:sz w:val="28"/>
              </w:rPr>
              <w:t>злочини.</w:t>
            </w:r>
          </w:p>
          <w:p w:rsidR="00D4163A" w:rsidRDefault="00D4163A">
            <w:pPr>
              <w:pStyle w:val="TableParagraph"/>
              <w:ind w:left="0"/>
              <w:rPr>
                <w:sz w:val="28"/>
              </w:rPr>
            </w:pPr>
          </w:p>
          <w:p w:rsidR="00D4163A" w:rsidRDefault="004012F1">
            <w:pPr>
              <w:pStyle w:val="TableParagraph"/>
              <w:ind w:right="202"/>
              <w:jc w:val="both"/>
              <w:rPr>
                <w:sz w:val="28"/>
              </w:rPr>
            </w:pPr>
            <w:r>
              <w:rPr>
                <w:sz w:val="28"/>
              </w:rPr>
              <w:t>Залучення фінансових активів із зобов’язанням щодо наступного їх повернення здійснюється кредитною спілкою від членів кредитної спілки шляхом залучення внесків (вкладів) членів кредитної спілки на депозитні рахунки.</w:t>
            </w:r>
          </w:p>
          <w:p w:rsidR="00D4163A" w:rsidRDefault="00D4163A">
            <w:pPr>
              <w:pStyle w:val="TableParagraph"/>
              <w:spacing w:before="2"/>
              <w:ind w:left="0"/>
              <w:rPr>
                <w:sz w:val="28"/>
              </w:rPr>
            </w:pPr>
          </w:p>
          <w:p w:rsidR="00D4163A" w:rsidRDefault="004012F1">
            <w:pPr>
              <w:pStyle w:val="TableParagraph"/>
              <w:spacing w:before="1"/>
              <w:ind w:right="199"/>
              <w:jc w:val="both"/>
              <w:rPr>
                <w:sz w:val="28"/>
              </w:rPr>
            </w:pPr>
            <w:r>
              <w:rPr>
                <w:sz w:val="28"/>
              </w:rPr>
              <w:t>Надання коштів у позику, в тому числі на умовах фінансового кредиту – фінансова послуга, яка згідно зі статтею 21 Закону України “Про кредитні спілки” передбачає надання кредитною спілкою кредитів своїм членам, фермерським господарствам та приватним підприємствам, які знаходяться у власності членів кредитної спілки, а також, іншим кредитним спілкам на підставі кредитного договору або іншого договору, який має всі ознаки кредитного договору, визначені статтею 1054 Цивільного кодексу України.</w:t>
            </w:r>
          </w:p>
          <w:p w:rsidR="00D4163A" w:rsidRDefault="00D4163A">
            <w:pPr>
              <w:pStyle w:val="TableParagraph"/>
              <w:spacing w:before="1"/>
              <w:ind w:left="0"/>
              <w:rPr>
                <w:sz w:val="28"/>
              </w:rPr>
            </w:pPr>
          </w:p>
          <w:p w:rsidR="00D4163A" w:rsidRDefault="004012F1">
            <w:pPr>
              <w:pStyle w:val="TableParagraph"/>
              <w:spacing w:line="321" w:lineRule="exact"/>
              <w:rPr>
                <w:sz w:val="28"/>
              </w:rPr>
            </w:pPr>
            <w:r>
              <w:rPr>
                <w:sz w:val="28"/>
              </w:rPr>
              <w:t xml:space="preserve">Порядок </w:t>
            </w:r>
            <w:r>
              <w:rPr>
                <w:spacing w:val="23"/>
                <w:sz w:val="28"/>
              </w:rPr>
              <w:t xml:space="preserve"> </w:t>
            </w:r>
            <w:r>
              <w:rPr>
                <w:sz w:val="28"/>
              </w:rPr>
              <w:t xml:space="preserve">та </w:t>
            </w:r>
            <w:r>
              <w:rPr>
                <w:spacing w:val="23"/>
                <w:sz w:val="28"/>
              </w:rPr>
              <w:t xml:space="preserve"> </w:t>
            </w:r>
            <w:r>
              <w:rPr>
                <w:sz w:val="28"/>
              </w:rPr>
              <w:t xml:space="preserve">умови </w:t>
            </w:r>
            <w:r>
              <w:rPr>
                <w:spacing w:val="21"/>
                <w:sz w:val="28"/>
              </w:rPr>
              <w:t xml:space="preserve"> </w:t>
            </w:r>
            <w:r>
              <w:rPr>
                <w:sz w:val="28"/>
              </w:rPr>
              <w:t xml:space="preserve">надання </w:t>
            </w:r>
            <w:r>
              <w:rPr>
                <w:spacing w:val="19"/>
                <w:sz w:val="28"/>
              </w:rPr>
              <w:t xml:space="preserve"> </w:t>
            </w:r>
            <w:r>
              <w:rPr>
                <w:sz w:val="28"/>
              </w:rPr>
              <w:t xml:space="preserve">зазначених </w:t>
            </w:r>
            <w:r>
              <w:rPr>
                <w:spacing w:val="19"/>
                <w:sz w:val="28"/>
              </w:rPr>
              <w:t xml:space="preserve"> </w:t>
            </w:r>
            <w:r>
              <w:rPr>
                <w:sz w:val="28"/>
              </w:rPr>
              <w:t xml:space="preserve">фінансових </w:t>
            </w:r>
            <w:r>
              <w:rPr>
                <w:spacing w:val="23"/>
                <w:sz w:val="28"/>
              </w:rPr>
              <w:t xml:space="preserve"> </w:t>
            </w:r>
            <w:r>
              <w:rPr>
                <w:sz w:val="28"/>
              </w:rPr>
              <w:t xml:space="preserve">послуг </w:t>
            </w:r>
            <w:r>
              <w:rPr>
                <w:spacing w:val="20"/>
                <w:sz w:val="28"/>
              </w:rPr>
              <w:t xml:space="preserve"> </w:t>
            </w:r>
            <w:r>
              <w:rPr>
                <w:sz w:val="28"/>
              </w:rPr>
              <w:t xml:space="preserve">містяться </w:t>
            </w:r>
            <w:r>
              <w:rPr>
                <w:spacing w:val="28"/>
                <w:sz w:val="28"/>
                <w:u w:val="single"/>
              </w:rPr>
              <w:t xml:space="preserve"> </w:t>
            </w:r>
            <w:r>
              <w:rPr>
                <w:sz w:val="28"/>
                <w:u w:val="single"/>
              </w:rPr>
              <w:t>за</w:t>
            </w:r>
          </w:p>
          <w:p w:rsidR="00D4163A" w:rsidRDefault="004012F1">
            <w:pPr>
              <w:pStyle w:val="TableParagraph"/>
              <w:spacing w:line="321" w:lineRule="exact"/>
              <w:rPr>
                <w:sz w:val="28"/>
              </w:rPr>
            </w:pPr>
            <w:r>
              <w:rPr>
                <w:spacing w:val="-70"/>
                <w:sz w:val="28"/>
                <w:u w:val="single"/>
              </w:rPr>
              <w:t xml:space="preserve"> </w:t>
            </w:r>
            <w:r>
              <w:rPr>
                <w:sz w:val="28"/>
                <w:u w:val="single"/>
              </w:rPr>
              <w:t>посиланнями  у  Положенні  про  фінансові  послуги  КРЕДИТНОЇ</w:t>
            </w:r>
            <w:r>
              <w:rPr>
                <w:spacing w:val="14"/>
                <w:sz w:val="28"/>
                <w:u w:val="single"/>
              </w:rPr>
              <w:t xml:space="preserve"> </w:t>
            </w:r>
            <w:r>
              <w:rPr>
                <w:sz w:val="28"/>
                <w:u w:val="single"/>
              </w:rPr>
              <w:t>СПІЛКИ</w:t>
            </w:r>
          </w:p>
          <w:p w:rsidR="00D4163A" w:rsidRDefault="004012F1" w:rsidP="004012F1">
            <w:pPr>
              <w:pStyle w:val="TableParagraph"/>
              <w:tabs>
                <w:tab w:val="left" w:pos="1982"/>
                <w:tab w:val="left" w:pos="4092"/>
                <w:tab w:val="left" w:pos="4625"/>
                <w:tab w:val="left" w:pos="6184"/>
                <w:tab w:val="left" w:pos="7683"/>
                <w:tab w:val="left" w:pos="8398"/>
              </w:tabs>
              <w:spacing w:before="2" w:line="321" w:lineRule="exact"/>
              <w:rPr>
                <w:sz w:val="28"/>
              </w:rPr>
            </w:pPr>
            <w:r>
              <w:rPr>
                <w:sz w:val="28"/>
                <w:u w:val="single"/>
              </w:rPr>
              <w:t xml:space="preserve">«ПРИКАРПАТТЯ» </w:t>
            </w:r>
            <w:r>
              <w:rPr>
                <w:sz w:val="28"/>
              </w:rPr>
              <w:t>та</w:t>
            </w:r>
            <w:r>
              <w:rPr>
                <w:sz w:val="28"/>
                <w:u w:val="single"/>
              </w:rPr>
              <w:t xml:space="preserve"> примірних  договорах про</w:t>
            </w:r>
            <w:r>
              <w:rPr>
                <w:sz w:val="28"/>
                <w:u w:val="single"/>
              </w:rPr>
              <w:tab/>
              <w:t>надання</w:t>
            </w:r>
          </w:p>
          <w:p w:rsidR="00D4163A" w:rsidRDefault="004012F1">
            <w:pPr>
              <w:pStyle w:val="TableParagraph"/>
              <w:spacing w:before="1" w:line="324" w:lineRule="exact"/>
              <w:rPr>
                <w:sz w:val="28"/>
              </w:rPr>
            </w:pPr>
            <w:r>
              <w:rPr>
                <w:spacing w:val="-70"/>
                <w:sz w:val="28"/>
                <w:u w:val="single"/>
              </w:rPr>
              <w:t xml:space="preserve"> </w:t>
            </w:r>
            <w:r>
              <w:rPr>
                <w:sz w:val="28"/>
                <w:u w:val="single"/>
              </w:rPr>
              <w:t>фінансових послуг</w:t>
            </w:r>
            <w:r>
              <w:rPr>
                <w:sz w:val="28"/>
              </w:rPr>
              <w:t>, які знаходиться на цьому вебсайті у розділі «Умови надання фінансових послуг».</w:t>
            </w:r>
          </w:p>
        </w:tc>
      </w:tr>
      <w:tr w:rsidR="00D4163A">
        <w:trPr>
          <w:trHeight w:val="4179"/>
        </w:trPr>
        <w:tc>
          <w:tcPr>
            <w:tcW w:w="9575" w:type="dxa"/>
          </w:tcPr>
          <w:p w:rsidR="00D4163A" w:rsidRDefault="004012F1">
            <w:pPr>
              <w:pStyle w:val="TableParagraph"/>
              <w:numPr>
                <w:ilvl w:val="0"/>
                <w:numId w:val="5"/>
              </w:numPr>
              <w:tabs>
                <w:tab w:val="left" w:pos="508"/>
              </w:tabs>
              <w:ind w:right="198" w:firstLine="0"/>
              <w:jc w:val="both"/>
              <w:rPr>
                <w:sz w:val="28"/>
              </w:rPr>
            </w:pPr>
            <w:r>
              <w:rPr>
                <w:sz w:val="28"/>
              </w:rPr>
              <w:t>З інформацією про вартість, ціну/тарифи, розмір плати (проценти) щодо фінансових послуг залежно від виду фінансової послуги можна ознайомитися на цьому вебсайті у розділі «Умови надання фінансових послуг»</w:t>
            </w:r>
            <w:r>
              <w:rPr>
                <w:sz w:val="28"/>
                <w:u w:val="single"/>
              </w:rPr>
              <w:t xml:space="preserve"> за  посиланнями  «Річні  процентні ставки за  кредитами» та </w:t>
            </w:r>
            <w:r>
              <w:rPr>
                <w:spacing w:val="39"/>
                <w:sz w:val="28"/>
                <w:u w:val="single"/>
              </w:rPr>
              <w:t xml:space="preserve"> </w:t>
            </w:r>
            <w:r>
              <w:rPr>
                <w:sz w:val="28"/>
                <w:u w:val="single"/>
              </w:rPr>
              <w:t>«Річні</w:t>
            </w:r>
          </w:p>
          <w:p w:rsidR="00D4163A" w:rsidRDefault="004012F1">
            <w:pPr>
              <w:pStyle w:val="TableParagraph"/>
              <w:tabs>
                <w:tab w:val="left" w:pos="1459"/>
                <w:tab w:val="left" w:pos="2455"/>
                <w:tab w:val="left" w:pos="2898"/>
                <w:tab w:val="left" w:pos="4226"/>
                <w:tab w:val="left" w:pos="5741"/>
                <w:tab w:val="left" w:pos="6712"/>
                <w:tab w:val="left" w:pos="8103"/>
                <w:tab w:val="left" w:pos="9090"/>
              </w:tabs>
              <w:rPr>
                <w:sz w:val="28"/>
              </w:rPr>
            </w:pPr>
            <w:r>
              <w:rPr>
                <w:spacing w:val="-70"/>
                <w:sz w:val="28"/>
                <w:u w:val="single"/>
              </w:rPr>
              <w:t xml:space="preserve"> </w:t>
            </w:r>
            <w:r>
              <w:rPr>
                <w:sz w:val="28"/>
                <w:u w:val="single"/>
              </w:rPr>
              <w:t>проценті</w:t>
            </w:r>
            <w:r>
              <w:rPr>
                <w:sz w:val="28"/>
                <w:u w:val="single"/>
              </w:rPr>
              <w:tab/>
              <w:t>ставки</w:t>
            </w:r>
            <w:r>
              <w:rPr>
                <w:sz w:val="28"/>
                <w:u w:val="single"/>
              </w:rPr>
              <w:tab/>
              <w:t>за</w:t>
            </w:r>
            <w:r>
              <w:rPr>
                <w:sz w:val="28"/>
                <w:u w:val="single"/>
              </w:rPr>
              <w:tab/>
              <w:t>внесками</w:t>
            </w:r>
            <w:r>
              <w:rPr>
                <w:sz w:val="28"/>
                <w:u w:val="single"/>
              </w:rPr>
              <w:tab/>
              <w:t>(вкладами)</w:t>
            </w:r>
            <w:r>
              <w:rPr>
                <w:sz w:val="28"/>
                <w:u w:val="single"/>
              </w:rPr>
              <w:tab/>
              <w:t>членів</w:t>
            </w:r>
            <w:r>
              <w:rPr>
                <w:sz w:val="28"/>
                <w:u w:val="single"/>
              </w:rPr>
              <w:tab/>
              <w:t>кредитної</w:t>
            </w:r>
            <w:r>
              <w:rPr>
                <w:sz w:val="28"/>
                <w:u w:val="single"/>
              </w:rPr>
              <w:tab/>
              <w:t>спілки</w:t>
            </w:r>
            <w:r>
              <w:rPr>
                <w:sz w:val="28"/>
                <w:u w:val="single"/>
              </w:rPr>
              <w:tab/>
            </w:r>
            <w:r>
              <w:rPr>
                <w:spacing w:val="4"/>
                <w:sz w:val="28"/>
                <w:u w:val="single"/>
              </w:rPr>
              <w:t>на</w:t>
            </w:r>
          </w:p>
          <w:p w:rsidR="00D4163A" w:rsidRDefault="004012F1">
            <w:pPr>
              <w:pStyle w:val="TableParagraph"/>
              <w:rPr>
                <w:sz w:val="28"/>
              </w:rPr>
            </w:pPr>
            <w:r>
              <w:rPr>
                <w:spacing w:val="-70"/>
                <w:sz w:val="28"/>
                <w:u w:val="single"/>
              </w:rPr>
              <w:t xml:space="preserve"> </w:t>
            </w:r>
            <w:r>
              <w:rPr>
                <w:sz w:val="28"/>
                <w:u w:val="single"/>
              </w:rPr>
              <w:t>депозитні рахунки».</w:t>
            </w:r>
          </w:p>
          <w:p w:rsidR="00D4163A" w:rsidRDefault="00D4163A">
            <w:pPr>
              <w:pStyle w:val="TableParagraph"/>
              <w:spacing w:before="7"/>
              <w:ind w:left="0"/>
              <w:rPr>
                <w:sz w:val="27"/>
              </w:rPr>
            </w:pPr>
          </w:p>
          <w:p w:rsidR="00D4163A" w:rsidRDefault="004012F1">
            <w:pPr>
              <w:pStyle w:val="TableParagraph"/>
              <w:numPr>
                <w:ilvl w:val="0"/>
                <w:numId w:val="5"/>
              </w:numPr>
              <w:tabs>
                <w:tab w:val="left" w:pos="564"/>
              </w:tabs>
              <w:ind w:right="204" w:firstLine="0"/>
              <w:jc w:val="both"/>
              <w:rPr>
                <w:sz w:val="28"/>
              </w:rPr>
            </w:pPr>
            <w:r>
              <w:rPr>
                <w:sz w:val="28"/>
              </w:rPr>
              <w:t xml:space="preserve">При наданні фінансових послуг кредитна спілка керується вимогами підпункту 165.1.29 пункту 165.1 статті 165 Податкового кодексу України, згідно яких </w:t>
            </w:r>
            <w:r>
              <w:rPr>
                <w:spacing w:val="2"/>
                <w:sz w:val="28"/>
              </w:rPr>
              <w:t xml:space="preserve">до </w:t>
            </w:r>
            <w:r>
              <w:rPr>
                <w:sz w:val="28"/>
              </w:rPr>
              <w:t xml:space="preserve">загального місячного (річного) оподатковуваного доходу члена кредитної спілки – платника податку не включаються, зокрема, основна </w:t>
            </w:r>
            <w:r>
              <w:rPr>
                <w:spacing w:val="47"/>
                <w:sz w:val="28"/>
              </w:rPr>
              <w:t xml:space="preserve"> </w:t>
            </w:r>
            <w:r>
              <w:rPr>
                <w:sz w:val="28"/>
              </w:rPr>
              <w:t xml:space="preserve">сума </w:t>
            </w:r>
            <w:r>
              <w:rPr>
                <w:spacing w:val="48"/>
                <w:sz w:val="28"/>
              </w:rPr>
              <w:t xml:space="preserve"> </w:t>
            </w:r>
            <w:r>
              <w:rPr>
                <w:sz w:val="28"/>
              </w:rPr>
              <w:t xml:space="preserve">внеску </w:t>
            </w:r>
            <w:r>
              <w:rPr>
                <w:spacing w:val="48"/>
                <w:sz w:val="28"/>
              </w:rPr>
              <w:t xml:space="preserve"> </w:t>
            </w:r>
            <w:r>
              <w:rPr>
                <w:sz w:val="28"/>
              </w:rPr>
              <w:t xml:space="preserve">(вкладу) </w:t>
            </w:r>
            <w:r>
              <w:rPr>
                <w:spacing w:val="51"/>
                <w:sz w:val="28"/>
              </w:rPr>
              <w:t xml:space="preserve"> </w:t>
            </w:r>
            <w:r>
              <w:rPr>
                <w:sz w:val="28"/>
              </w:rPr>
              <w:t xml:space="preserve">члена </w:t>
            </w:r>
            <w:r>
              <w:rPr>
                <w:spacing w:val="48"/>
                <w:sz w:val="28"/>
              </w:rPr>
              <w:t xml:space="preserve"> </w:t>
            </w:r>
            <w:r>
              <w:rPr>
                <w:sz w:val="28"/>
              </w:rPr>
              <w:t xml:space="preserve">кредитної </w:t>
            </w:r>
            <w:r>
              <w:rPr>
                <w:spacing w:val="46"/>
                <w:sz w:val="28"/>
              </w:rPr>
              <w:t xml:space="preserve"> </w:t>
            </w:r>
            <w:r>
              <w:rPr>
                <w:sz w:val="28"/>
              </w:rPr>
              <w:t xml:space="preserve">спілки </w:t>
            </w:r>
            <w:r>
              <w:rPr>
                <w:spacing w:val="47"/>
                <w:sz w:val="28"/>
              </w:rPr>
              <w:t xml:space="preserve"> </w:t>
            </w:r>
            <w:r>
              <w:rPr>
                <w:sz w:val="28"/>
              </w:rPr>
              <w:t xml:space="preserve">на </w:t>
            </w:r>
            <w:r>
              <w:rPr>
                <w:spacing w:val="48"/>
                <w:sz w:val="28"/>
              </w:rPr>
              <w:t xml:space="preserve"> </w:t>
            </w:r>
            <w:r>
              <w:rPr>
                <w:sz w:val="28"/>
              </w:rPr>
              <w:t>депозитний</w:t>
            </w:r>
          </w:p>
          <w:p w:rsidR="00D4163A" w:rsidRDefault="004012F1">
            <w:pPr>
              <w:pStyle w:val="TableParagraph"/>
              <w:spacing w:line="301" w:lineRule="exact"/>
              <w:jc w:val="both"/>
              <w:rPr>
                <w:sz w:val="28"/>
              </w:rPr>
            </w:pPr>
            <w:r>
              <w:rPr>
                <w:sz w:val="28"/>
              </w:rPr>
              <w:t>рахунок,</w:t>
            </w:r>
            <w:r>
              <w:rPr>
                <w:spacing w:val="48"/>
                <w:sz w:val="28"/>
              </w:rPr>
              <w:t xml:space="preserve"> </w:t>
            </w:r>
            <w:r>
              <w:rPr>
                <w:sz w:val="28"/>
              </w:rPr>
              <w:t>яка</w:t>
            </w:r>
            <w:r>
              <w:rPr>
                <w:spacing w:val="50"/>
                <w:sz w:val="28"/>
              </w:rPr>
              <w:t xml:space="preserve"> </w:t>
            </w:r>
            <w:r>
              <w:rPr>
                <w:sz w:val="28"/>
              </w:rPr>
              <w:t>повертається</w:t>
            </w:r>
            <w:r>
              <w:rPr>
                <w:spacing w:val="45"/>
                <w:sz w:val="28"/>
              </w:rPr>
              <w:t xml:space="preserve"> </w:t>
            </w:r>
            <w:r>
              <w:rPr>
                <w:sz w:val="28"/>
              </w:rPr>
              <w:t>члену</w:t>
            </w:r>
            <w:r>
              <w:rPr>
                <w:spacing w:val="50"/>
                <w:sz w:val="28"/>
              </w:rPr>
              <w:t xml:space="preserve"> </w:t>
            </w:r>
            <w:r>
              <w:rPr>
                <w:sz w:val="28"/>
              </w:rPr>
              <w:t>кредитної</w:t>
            </w:r>
            <w:r>
              <w:rPr>
                <w:spacing w:val="49"/>
                <w:sz w:val="28"/>
              </w:rPr>
              <w:t xml:space="preserve"> </w:t>
            </w:r>
            <w:r>
              <w:rPr>
                <w:sz w:val="28"/>
              </w:rPr>
              <w:t>спілки,</w:t>
            </w:r>
            <w:r>
              <w:rPr>
                <w:spacing w:val="48"/>
                <w:sz w:val="28"/>
              </w:rPr>
              <w:t xml:space="preserve"> </w:t>
            </w:r>
            <w:r>
              <w:rPr>
                <w:sz w:val="28"/>
              </w:rPr>
              <w:t>а</w:t>
            </w:r>
            <w:r>
              <w:rPr>
                <w:spacing w:val="46"/>
                <w:sz w:val="28"/>
              </w:rPr>
              <w:t xml:space="preserve"> </w:t>
            </w:r>
            <w:r>
              <w:rPr>
                <w:sz w:val="28"/>
              </w:rPr>
              <w:t>також</w:t>
            </w:r>
            <w:r>
              <w:rPr>
                <w:spacing w:val="53"/>
                <w:sz w:val="28"/>
              </w:rPr>
              <w:t xml:space="preserve"> </w:t>
            </w:r>
            <w:r>
              <w:rPr>
                <w:sz w:val="28"/>
              </w:rPr>
              <w:t>основна</w:t>
            </w:r>
            <w:r>
              <w:rPr>
                <w:spacing w:val="47"/>
                <w:sz w:val="28"/>
              </w:rPr>
              <w:t xml:space="preserve"> </w:t>
            </w:r>
            <w:r>
              <w:rPr>
                <w:sz w:val="28"/>
              </w:rPr>
              <w:t>сума</w:t>
            </w:r>
          </w:p>
        </w:tc>
      </w:tr>
    </w:tbl>
    <w:p w:rsidR="00D4163A" w:rsidRDefault="00D4163A">
      <w:pPr>
        <w:spacing w:line="301" w:lineRule="exact"/>
        <w:jc w:val="both"/>
        <w:rPr>
          <w:sz w:val="28"/>
        </w:rPr>
        <w:sectPr w:rsidR="00D4163A">
          <w:type w:val="continuous"/>
          <w:pgSz w:w="11910" w:h="16840"/>
          <w:pgMar w:top="840" w:right="780" w:bottom="280" w:left="1340" w:header="720" w:footer="720" w:gutter="0"/>
          <w:cols w:space="720"/>
        </w:sectPr>
      </w:pPr>
    </w:p>
    <w:p w:rsidR="00D4163A" w:rsidRDefault="004012F1">
      <w:pPr>
        <w:pStyle w:val="a3"/>
        <w:spacing w:before="66"/>
        <w:ind w:right="311"/>
        <w:jc w:val="both"/>
      </w:pPr>
      <w:r>
        <w:lastRenderedPageBreak/>
        <w:t>кредиту, що отримується членом кредитної спілки (протягом строку дії договору).</w:t>
      </w:r>
    </w:p>
    <w:p w:rsidR="00D4163A" w:rsidRDefault="00D4163A">
      <w:pPr>
        <w:pStyle w:val="a3"/>
        <w:spacing w:before="10"/>
        <w:ind w:left="0"/>
        <w:rPr>
          <w:sz w:val="27"/>
        </w:rPr>
      </w:pPr>
    </w:p>
    <w:p w:rsidR="00D4163A" w:rsidRDefault="004012F1">
      <w:pPr>
        <w:pStyle w:val="a3"/>
        <w:ind w:right="304"/>
        <w:jc w:val="both"/>
      </w:pPr>
      <w:r>
        <w:t>Відповідно до підпункту 170.4.1 пункту 170.4 статті 170 Податкового кодексу України кредитна спілка є податковим агентом члена кредитної спілки – платника податку під час нарахування на його користь доходів у вигляді процентів за користування внеском (вкладом) члена кредитної спілки на депозитний рахунок, і сплачує (перераховує) до бюджету у строки, визначені цим Кодексом для місячного податкового періоду, загальну суму податку, нарахованого за ставкою 18%, визначеною пунктом</w:t>
      </w:r>
    </w:p>
    <w:p w:rsidR="00D4163A" w:rsidRDefault="004012F1">
      <w:pPr>
        <w:pStyle w:val="a3"/>
        <w:ind w:right="300"/>
        <w:jc w:val="both"/>
      </w:pPr>
      <w:r>
        <w:t xml:space="preserve">167.1 статті 167 цього Кодексу, із загальної суми процентів, нарахованих за податковий (звітний) місяць на суми вкладів (депозитів) членів кредитної спілки у кредитній спілці. Також, з таких доходів у вигляді процентів стягується військовий збір у розмірі 1,5 % відповідно </w:t>
      </w:r>
      <w:r>
        <w:rPr>
          <w:spacing w:val="2"/>
        </w:rPr>
        <w:t xml:space="preserve">до </w:t>
      </w:r>
      <w:r>
        <w:t xml:space="preserve">пункту </w:t>
      </w:r>
      <w:r>
        <w:rPr>
          <w:spacing w:val="3"/>
        </w:rPr>
        <w:t>16</w:t>
      </w:r>
      <w:r>
        <w:rPr>
          <w:spacing w:val="3"/>
          <w:vertAlign w:val="superscript"/>
        </w:rPr>
        <w:t>1</w:t>
      </w:r>
      <w:r>
        <w:rPr>
          <w:spacing w:val="3"/>
        </w:rPr>
        <w:t xml:space="preserve"> </w:t>
      </w:r>
      <w:r>
        <w:t>підрозділу 10 розділу ХХ Податкового кодексу</w:t>
      </w:r>
      <w:r>
        <w:rPr>
          <w:spacing w:val="-18"/>
        </w:rPr>
        <w:t xml:space="preserve"> </w:t>
      </w:r>
      <w:r>
        <w:t>України.</w:t>
      </w:r>
    </w:p>
    <w:p w:rsidR="00D4163A" w:rsidRDefault="00D4163A">
      <w:pPr>
        <w:pStyle w:val="a3"/>
        <w:spacing w:before="11"/>
        <w:ind w:left="0"/>
        <w:rPr>
          <w:sz w:val="27"/>
        </w:rPr>
      </w:pPr>
    </w:p>
    <w:p w:rsidR="00D4163A" w:rsidRDefault="004012F1">
      <w:pPr>
        <w:pStyle w:val="a4"/>
        <w:numPr>
          <w:ilvl w:val="0"/>
          <w:numId w:val="4"/>
        </w:numPr>
        <w:tabs>
          <w:tab w:val="left" w:pos="688"/>
        </w:tabs>
        <w:spacing w:line="242" w:lineRule="auto"/>
        <w:ind w:right="302" w:firstLine="0"/>
        <w:jc w:val="both"/>
        <w:rPr>
          <w:sz w:val="28"/>
        </w:rPr>
      </w:pPr>
      <w:r>
        <w:rPr>
          <w:sz w:val="28"/>
        </w:rPr>
        <w:t>При наданні фінансових послуг комісії та будь-які інші обов'язкові платежі за супровідні послуги кредитної спілки</w:t>
      </w:r>
      <w:r>
        <w:rPr>
          <w:spacing w:val="-5"/>
          <w:sz w:val="28"/>
        </w:rPr>
        <w:t xml:space="preserve"> </w:t>
      </w:r>
      <w:r>
        <w:rPr>
          <w:sz w:val="28"/>
        </w:rPr>
        <w:t>відсутні.</w:t>
      </w:r>
    </w:p>
    <w:p w:rsidR="00D4163A" w:rsidRDefault="00D4163A">
      <w:pPr>
        <w:pStyle w:val="a3"/>
        <w:spacing w:before="7"/>
        <w:ind w:left="0"/>
        <w:rPr>
          <w:sz w:val="27"/>
        </w:rPr>
      </w:pPr>
    </w:p>
    <w:p w:rsidR="00D4163A" w:rsidRDefault="004012F1">
      <w:pPr>
        <w:pStyle w:val="a4"/>
        <w:numPr>
          <w:ilvl w:val="0"/>
          <w:numId w:val="4"/>
        </w:numPr>
        <w:tabs>
          <w:tab w:val="left" w:pos="752"/>
        </w:tabs>
        <w:ind w:right="313" w:firstLine="0"/>
        <w:jc w:val="both"/>
        <w:rPr>
          <w:sz w:val="28"/>
        </w:rPr>
      </w:pPr>
      <w:r>
        <w:rPr>
          <w:sz w:val="28"/>
        </w:rPr>
        <w:t>Надання споживчих кредитів здійснюється кредитною спілкою з дотриманням вимог Закону України «Про споживче</w:t>
      </w:r>
      <w:r>
        <w:rPr>
          <w:spacing w:val="-15"/>
          <w:sz w:val="28"/>
        </w:rPr>
        <w:t xml:space="preserve"> </w:t>
      </w:r>
      <w:r>
        <w:rPr>
          <w:sz w:val="28"/>
        </w:rPr>
        <w:t>кредитування».</w:t>
      </w:r>
    </w:p>
    <w:p w:rsidR="00D4163A" w:rsidRDefault="00D4163A">
      <w:pPr>
        <w:pStyle w:val="a3"/>
        <w:spacing w:before="10"/>
        <w:ind w:left="0"/>
        <w:rPr>
          <w:sz w:val="27"/>
        </w:rPr>
      </w:pPr>
    </w:p>
    <w:p w:rsidR="00D4163A" w:rsidRDefault="004012F1">
      <w:pPr>
        <w:pStyle w:val="a4"/>
        <w:numPr>
          <w:ilvl w:val="0"/>
          <w:numId w:val="4"/>
        </w:numPr>
        <w:tabs>
          <w:tab w:val="left" w:pos="596"/>
        </w:tabs>
        <w:ind w:right="312" w:firstLine="0"/>
        <w:jc w:val="both"/>
        <w:rPr>
          <w:sz w:val="28"/>
        </w:rPr>
      </w:pPr>
      <w:r>
        <w:rPr>
          <w:sz w:val="28"/>
        </w:rPr>
        <w:t>Загальна вартість споживчого кредиту включає загальний розмір</w:t>
      </w:r>
      <w:r>
        <w:rPr>
          <w:spacing w:val="-36"/>
          <w:sz w:val="28"/>
        </w:rPr>
        <w:t xml:space="preserve"> </w:t>
      </w:r>
      <w:r>
        <w:rPr>
          <w:sz w:val="28"/>
        </w:rPr>
        <w:t>кредиту, тобто суму коштів, які надані та/або можуть бути надані споживачу за договором про споживчий кредит та проценти за користування</w:t>
      </w:r>
      <w:r>
        <w:rPr>
          <w:spacing w:val="-19"/>
          <w:sz w:val="28"/>
        </w:rPr>
        <w:t xml:space="preserve"> </w:t>
      </w:r>
      <w:r>
        <w:rPr>
          <w:sz w:val="28"/>
        </w:rPr>
        <w:t>кредитом.</w:t>
      </w:r>
    </w:p>
    <w:p w:rsidR="00D4163A" w:rsidRDefault="00D4163A">
      <w:pPr>
        <w:pStyle w:val="a3"/>
        <w:ind w:left="0"/>
      </w:pPr>
    </w:p>
    <w:p w:rsidR="00D4163A" w:rsidRDefault="004012F1">
      <w:pPr>
        <w:pStyle w:val="a3"/>
        <w:spacing w:before="1"/>
        <w:ind w:right="298"/>
        <w:jc w:val="both"/>
      </w:pPr>
      <w:r>
        <w:t>Сума процентів за користування кредитом розраховується з використанням процентної ставки, затвердженої рішенням спостережної ради кредитної спілки для певного виду споживчого кредиту, яке розміщено</w:t>
      </w:r>
      <w:r>
        <w:rPr>
          <w:spacing w:val="66"/>
          <w:u w:val="single"/>
        </w:rPr>
        <w:t xml:space="preserve"> </w:t>
      </w:r>
      <w:r>
        <w:rPr>
          <w:spacing w:val="2"/>
          <w:u w:val="single"/>
        </w:rPr>
        <w:t>за</w:t>
      </w:r>
    </w:p>
    <w:p w:rsidR="00D4163A" w:rsidRDefault="00996DD2">
      <w:pPr>
        <w:pStyle w:val="a3"/>
        <w:spacing w:before="2"/>
        <w:jc w:val="both"/>
      </w:pPr>
      <w:r>
        <w:rPr>
          <w:noProof/>
          <w:lang w:val="ru-RU" w:eastAsia="ru-RU"/>
        </w:rPr>
        <mc:AlternateContent>
          <mc:Choice Requires="wps">
            <w:drawing>
              <wp:anchor distT="0" distB="0" distL="114300" distR="114300" simplePos="0" relativeHeight="15728640" behindDoc="0" locked="0" layoutInCell="1" allowOverlap="1">
                <wp:simplePos x="0" y="0"/>
                <wp:positionH relativeFrom="page">
                  <wp:posOffset>2185035</wp:posOffset>
                </wp:positionH>
                <wp:positionV relativeFrom="paragraph">
                  <wp:posOffset>187325</wp:posOffset>
                </wp:positionV>
                <wp:extent cx="2866390" cy="762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63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2.05pt;margin-top:14.75pt;width:225.7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6VdwIAAPk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" fillcolor="black" stroked="f">
                <w10:wrap anchorx="page"/>
              </v:rect>
            </w:pict>
          </mc:Fallback>
        </mc:AlternateContent>
      </w:r>
      <w:r w:rsidR="004012F1">
        <w:rPr>
          <w:spacing w:val="-70"/>
          <w:u w:val="single"/>
        </w:rPr>
        <w:t xml:space="preserve"> </w:t>
      </w:r>
      <w:r w:rsidR="004012F1">
        <w:rPr>
          <w:u w:val="single"/>
        </w:rPr>
        <w:t xml:space="preserve">посиланнями </w:t>
      </w:r>
      <w:r w:rsidR="004012F1">
        <w:t>«Річні процентні ставки за кредитами».</w:t>
      </w:r>
    </w:p>
    <w:p w:rsidR="00D4163A" w:rsidRDefault="00D4163A">
      <w:pPr>
        <w:pStyle w:val="a3"/>
        <w:spacing w:before="4"/>
        <w:ind w:left="0"/>
        <w:rPr>
          <w:sz w:val="20"/>
        </w:rPr>
      </w:pPr>
    </w:p>
    <w:p w:rsidR="00D4163A" w:rsidRDefault="004012F1">
      <w:pPr>
        <w:pStyle w:val="a3"/>
        <w:spacing w:before="88"/>
        <w:ind w:right="302"/>
        <w:jc w:val="both"/>
      </w:pPr>
      <w:r>
        <w:t>Кредитна спілка не користується послугами кредитних посередників. Комісії та інші обов'язкові платежі за супровідні послуги, пов'язані з наданням, обслуговуванням і поверненням споживчого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w:t>
      </w:r>
      <w:r>
        <w:rPr>
          <w:spacing w:val="2"/>
        </w:rPr>
        <w:t xml:space="preserve"> </w:t>
      </w:r>
      <w:r>
        <w:t>відсутні.</w:t>
      </w:r>
    </w:p>
    <w:p w:rsidR="00D4163A" w:rsidRDefault="00D4163A">
      <w:pPr>
        <w:pStyle w:val="a3"/>
        <w:spacing w:before="1"/>
        <w:ind w:left="0"/>
      </w:pPr>
    </w:p>
    <w:p w:rsidR="00D4163A" w:rsidRDefault="004012F1">
      <w:pPr>
        <w:pStyle w:val="a3"/>
        <w:spacing w:before="1"/>
        <w:ind w:right="303"/>
        <w:jc w:val="both"/>
      </w:pPr>
      <w:r>
        <w:t>Загальна вартість споживчого кредиту включає загальний розмір кредиту, тобто суму коштів, які надані та/або можуть бути надані споживачу за договором про споживчий кредит та загальні витрати за споживчим кредитом, тобто витрати споживача, пов'язані з отриманням,</w:t>
      </w:r>
    </w:p>
    <w:p w:rsidR="00D4163A" w:rsidRDefault="00D4163A">
      <w:pPr>
        <w:jc w:val="both"/>
        <w:sectPr w:rsidR="00D4163A">
          <w:pgSz w:w="11910" w:h="16840"/>
          <w:pgMar w:top="760" w:right="780" w:bottom="280" w:left="1340" w:header="720" w:footer="720" w:gutter="0"/>
          <w:cols w:space="720"/>
        </w:sectPr>
      </w:pPr>
    </w:p>
    <w:p w:rsidR="00D4163A" w:rsidRDefault="004012F1">
      <w:pPr>
        <w:pStyle w:val="a3"/>
        <w:spacing w:before="66"/>
        <w:ind w:right="307"/>
        <w:jc w:val="both"/>
      </w:pPr>
      <w:r>
        <w:lastRenderedPageBreak/>
        <w:t>обслуговуванням та поверненням кредиту, уключаючи проценти за користування кредитом.</w:t>
      </w:r>
    </w:p>
    <w:p w:rsidR="00D4163A" w:rsidRDefault="00D4163A">
      <w:pPr>
        <w:pStyle w:val="a3"/>
        <w:spacing w:before="10"/>
        <w:ind w:left="0"/>
        <w:rPr>
          <w:sz w:val="27"/>
        </w:rPr>
      </w:pPr>
    </w:p>
    <w:p w:rsidR="00D4163A" w:rsidRDefault="004012F1">
      <w:pPr>
        <w:pStyle w:val="a3"/>
        <w:ind w:right="298"/>
        <w:jc w:val="both"/>
      </w:pPr>
      <w:r>
        <w:t>Сума процентів за користування кредитом розраховується з використанням процентної ставки, затвердженої рішенням спостережної ради кредитної спілки для певного виду споживчого кредиту, яке розміщено</w:t>
      </w:r>
      <w:r>
        <w:rPr>
          <w:spacing w:val="66"/>
          <w:u w:val="single"/>
        </w:rPr>
        <w:t xml:space="preserve"> </w:t>
      </w:r>
      <w:r>
        <w:rPr>
          <w:spacing w:val="2"/>
          <w:u w:val="single"/>
        </w:rPr>
        <w:t>за</w:t>
      </w:r>
    </w:p>
    <w:p w:rsidR="00D4163A" w:rsidRDefault="00996DD2">
      <w:pPr>
        <w:pStyle w:val="a3"/>
        <w:spacing w:line="320" w:lineRule="exact"/>
        <w:jc w:val="both"/>
      </w:pPr>
      <w:r>
        <w:rPr>
          <w:noProof/>
          <w:lang w:val="ru-RU" w:eastAsia="ru-RU"/>
        </w:rPr>
        <mc:AlternateContent>
          <mc:Choice Requires="wps">
            <w:drawing>
              <wp:anchor distT="0" distB="0" distL="114300" distR="114300" simplePos="0" relativeHeight="15729152" behindDoc="0" locked="0" layoutInCell="1" allowOverlap="1">
                <wp:simplePos x="0" y="0"/>
                <wp:positionH relativeFrom="page">
                  <wp:posOffset>2185035</wp:posOffset>
                </wp:positionH>
                <wp:positionV relativeFrom="paragraph">
                  <wp:posOffset>185420</wp:posOffset>
                </wp:positionV>
                <wp:extent cx="2912110" cy="76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2.05pt;margin-top:14.6pt;width:229.3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nAdQIAAPk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" fillcolor="black" stroked="f">
                <w10:wrap anchorx="page"/>
              </v:rect>
            </w:pict>
          </mc:Fallback>
        </mc:AlternateContent>
      </w:r>
      <w:r w:rsidR="004012F1">
        <w:rPr>
          <w:spacing w:val="-70"/>
          <w:u w:val="single"/>
        </w:rPr>
        <w:t xml:space="preserve"> </w:t>
      </w:r>
      <w:r w:rsidR="004012F1">
        <w:rPr>
          <w:u w:val="single"/>
        </w:rPr>
        <w:t xml:space="preserve">посиланнями </w:t>
      </w:r>
      <w:r w:rsidR="004012F1">
        <w:t>«Річні процентні ставки за кредитами».</w:t>
      </w:r>
    </w:p>
    <w:p w:rsidR="00D4163A" w:rsidRDefault="004012F1">
      <w:pPr>
        <w:pStyle w:val="a3"/>
        <w:spacing w:before="2"/>
        <w:ind w:right="302"/>
        <w:jc w:val="both"/>
      </w:pPr>
      <w:r>
        <w:t>КРЕДИТНА СПІЛКА«</w:t>
      </w:r>
      <w:r w:rsidR="00996DD2">
        <w:t>Прикарпаття</w:t>
      </w:r>
      <w:r>
        <w:t xml:space="preserve"> » не користується послугами кредитних посередників.</w:t>
      </w:r>
    </w:p>
    <w:p w:rsidR="00D4163A" w:rsidRDefault="00D4163A">
      <w:pPr>
        <w:pStyle w:val="a3"/>
        <w:spacing w:before="10"/>
        <w:ind w:left="0"/>
        <w:rPr>
          <w:sz w:val="27"/>
        </w:rPr>
      </w:pPr>
    </w:p>
    <w:p w:rsidR="00D4163A" w:rsidRDefault="004012F1">
      <w:pPr>
        <w:pStyle w:val="a3"/>
        <w:jc w:val="both"/>
      </w:pPr>
      <w:r>
        <w:t>До загальних витрат за споживчим кредитом не включаються:</w:t>
      </w:r>
    </w:p>
    <w:p w:rsidR="00D4163A" w:rsidRDefault="004012F1">
      <w:pPr>
        <w:pStyle w:val="a4"/>
        <w:numPr>
          <w:ilvl w:val="0"/>
          <w:numId w:val="3"/>
        </w:numPr>
        <w:tabs>
          <w:tab w:val="left" w:pos="1021"/>
        </w:tabs>
        <w:spacing w:before="2"/>
        <w:ind w:right="309" w:firstLine="0"/>
        <w:rPr>
          <w:sz w:val="28"/>
        </w:rPr>
      </w:pPr>
      <w:r>
        <w:rPr>
          <w:sz w:val="28"/>
        </w:rPr>
        <w:t>платежі, що підлягають сплаті Позичальником у разі невиконання його обов'язків, передбачених договором споживчого</w:t>
      </w:r>
      <w:r>
        <w:rPr>
          <w:spacing w:val="-4"/>
          <w:sz w:val="28"/>
        </w:rPr>
        <w:t xml:space="preserve"> </w:t>
      </w:r>
      <w:r>
        <w:rPr>
          <w:sz w:val="28"/>
        </w:rPr>
        <w:t>кредиту;</w:t>
      </w:r>
    </w:p>
    <w:p w:rsidR="00D4163A" w:rsidRDefault="004012F1">
      <w:pPr>
        <w:pStyle w:val="a4"/>
        <w:numPr>
          <w:ilvl w:val="0"/>
          <w:numId w:val="3"/>
        </w:numPr>
        <w:tabs>
          <w:tab w:val="left" w:pos="1021"/>
        </w:tabs>
        <w:ind w:right="310" w:firstLine="0"/>
        <w:rPr>
          <w:sz w:val="28"/>
        </w:rPr>
      </w:pPr>
      <w:r>
        <w:rPr>
          <w:sz w:val="28"/>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w:t>
      </w:r>
      <w:r>
        <w:rPr>
          <w:spacing w:val="-21"/>
          <w:sz w:val="28"/>
        </w:rPr>
        <w:t xml:space="preserve"> </w:t>
      </w:r>
      <w:r>
        <w:rPr>
          <w:sz w:val="28"/>
        </w:rPr>
        <w:t>кредиту.</w:t>
      </w:r>
    </w:p>
    <w:p w:rsidR="00D4163A" w:rsidRDefault="00D4163A">
      <w:pPr>
        <w:pStyle w:val="a3"/>
        <w:spacing w:before="1"/>
        <w:ind w:left="0"/>
      </w:pPr>
    </w:p>
    <w:p w:rsidR="00D4163A" w:rsidRDefault="004012F1">
      <w:pPr>
        <w:pStyle w:val="a3"/>
        <w:ind w:right="310"/>
        <w:jc w:val="both"/>
      </w:pPr>
      <w:r>
        <w:t>Особи, які надають посередницькі послуги, включаючи кредитних посередників, відсутні.</w:t>
      </w:r>
    </w:p>
    <w:p w:rsidR="00D4163A" w:rsidRDefault="00D4163A">
      <w:pPr>
        <w:pStyle w:val="a3"/>
        <w:spacing w:before="9"/>
        <w:ind w:left="0"/>
        <w:rPr>
          <w:sz w:val="27"/>
        </w:rPr>
      </w:pPr>
    </w:p>
    <w:p w:rsidR="00D4163A" w:rsidRDefault="004012F1">
      <w:pPr>
        <w:pStyle w:val="a3"/>
        <w:spacing w:before="1" w:line="480" w:lineRule="auto"/>
        <w:ind w:right="714"/>
      </w:pPr>
      <w:r>
        <w:t xml:space="preserve">Повне найменування: КРЕДИТНА СПІЛКА «ПРИКАРПАТТЯ» Ідентифікаційний код: Код за ЄДРПОУ </w:t>
      </w:r>
      <w:r>
        <w:rPr>
          <w:u w:val="single"/>
        </w:rPr>
        <w:t>25824311</w:t>
      </w:r>
    </w:p>
    <w:p w:rsidR="00D4163A" w:rsidRDefault="004012F1">
      <w:pPr>
        <w:pStyle w:val="a3"/>
      </w:pPr>
      <w:r>
        <w:t>Місцезнаходження: 78200, Івано-Франківська область. м.Коломия, вул.</w:t>
      </w:r>
    </w:p>
    <w:p w:rsidR="00D4163A" w:rsidRDefault="004012F1">
      <w:pPr>
        <w:pStyle w:val="a3"/>
        <w:spacing w:before="2" w:line="321" w:lineRule="exact"/>
      </w:pPr>
      <w:r>
        <w:t>Театральна,20,оф.1., UA</w:t>
      </w:r>
      <w:r w:rsidRPr="004012F1">
        <w:rPr>
          <w:rFonts w:ascii="Arial" w:hAnsi="Arial" w:cs="Arial"/>
          <w:shd w:val="clear" w:color="auto" w:fill="FFFFFF"/>
        </w:rPr>
        <w:t>2610600000</w:t>
      </w:r>
    </w:p>
    <w:p w:rsidR="00D4163A" w:rsidRDefault="004012F1">
      <w:pPr>
        <w:spacing w:line="242" w:lineRule="auto"/>
        <w:ind w:left="312" w:firstLine="72"/>
        <w:rPr>
          <w:i/>
          <w:sz w:val="28"/>
        </w:rPr>
      </w:pPr>
      <w:r>
        <w:rPr>
          <w:i/>
          <w:sz w:val="28"/>
        </w:rPr>
        <w:t>(код території за КОАТУУ, поштовий індекс, область, район, населений пункт, район населеного пункту (за наявності), вулиця, номер будинку, )</w:t>
      </w:r>
    </w:p>
    <w:p w:rsidR="00D4163A" w:rsidRDefault="00D4163A">
      <w:pPr>
        <w:pStyle w:val="a3"/>
        <w:spacing w:before="7"/>
        <w:ind w:left="0"/>
        <w:rPr>
          <w:i/>
          <w:sz w:val="27"/>
        </w:rPr>
      </w:pPr>
    </w:p>
    <w:p w:rsidR="00D4163A" w:rsidRPr="004012F1" w:rsidRDefault="004012F1">
      <w:pPr>
        <w:pStyle w:val="a3"/>
        <w:spacing w:line="480" w:lineRule="auto"/>
        <w:ind w:right="1522"/>
      </w:pPr>
      <w:r>
        <w:t xml:space="preserve">Контактний телефон: (03433) 2-49-10; Адреса електронної пошти: </w:t>
      </w:r>
      <w:r>
        <w:rPr>
          <w:color w:val="004466"/>
        </w:rPr>
        <w:t xml:space="preserve"> </w:t>
      </w:r>
      <w:r w:rsidRPr="004012F1">
        <w:rPr>
          <w:rFonts w:ascii="Arial" w:hAnsi="Arial" w:cs="Arial"/>
          <w:shd w:val="clear" w:color="auto" w:fill="FFFFFF"/>
        </w:rPr>
        <w:t>ksprukarpattya@ukr.net</w:t>
      </w:r>
    </w:p>
    <w:p w:rsidR="00D4163A" w:rsidRDefault="00D4163A">
      <w:pPr>
        <w:pStyle w:val="a3"/>
        <w:ind w:left="0"/>
        <w:rPr>
          <w:sz w:val="30"/>
        </w:rPr>
      </w:pPr>
    </w:p>
    <w:p w:rsidR="00D4163A" w:rsidRDefault="004012F1">
      <w:pPr>
        <w:pStyle w:val="a3"/>
        <w:spacing w:before="255" w:line="242" w:lineRule="auto"/>
        <w:ind w:right="1178"/>
      </w:pPr>
      <w:r>
        <w:t>Адреса, за якою приймаються скарги споживачів фінансових послуг: 78200, Івано-Франківська область. м.Коломия, вул. Театральна б.20 оф.1</w:t>
      </w:r>
    </w:p>
    <w:p w:rsidR="00D4163A" w:rsidRDefault="00D4163A">
      <w:pPr>
        <w:pStyle w:val="a3"/>
        <w:ind w:left="0"/>
        <w:rPr>
          <w:sz w:val="30"/>
        </w:rPr>
      </w:pPr>
    </w:p>
    <w:p w:rsidR="00D4163A" w:rsidRDefault="00D4163A">
      <w:pPr>
        <w:pStyle w:val="a3"/>
        <w:ind w:left="0"/>
        <w:rPr>
          <w:sz w:val="30"/>
        </w:rPr>
      </w:pPr>
    </w:p>
    <w:p w:rsidR="00D4163A" w:rsidRDefault="00D4163A">
      <w:pPr>
        <w:pStyle w:val="a3"/>
        <w:spacing w:before="9"/>
        <w:ind w:left="0"/>
        <w:rPr>
          <w:sz w:val="25"/>
        </w:rPr>
      </w:pPr>
    </w:p>
    <w:p w:rsidR="00D4163A" w:rsidRDefault="004012F1">
      <w:pPr>
        <w:pStyle w:val="1"/>
        <w:spacing w:line="317" w:lineRule="exact"/>
      </w:pPr>
      <w:r>
        <w:t>Відомості про державну реєстрацію кредитної спілки:</w:t>
      </w:r>
    </w:p>
    <w:p w:rsidR="00D4163A" w:rsidRDefault="004012F1">
      <w:pPr>
        <w:pStyle w:val="a3"/>
        <w:spacing w:line="242" w:lineRule="auto"/>
        <w:ind w:right="1026"/>
      </w:pPr>
      <w:r>
        <w:t>Дата реєстрації 21.03.2000р., Дата запису: 02.08.1998р., Номер запису: 1 121 120 0000 000438;</w:t>
      </w:r>
    </w:p>
    <w:p w:rsidR="00D4163A" w:rsidRDefault="00D4163A">
      <w:pPr>
        <w:pStyle w:val="a3"/>
        <w:spacing w:before="10"/>
        <w:ind w:left="0"/>
        <w:rPr>
          <w:sz w:val="27"/>
        </w:rPr>
      </w:pPr>
    </w:p>
    <w:p w:rsidR="00D4163A" w:rsidRDefault="004012F1">
      <w:pPr>
        <w:pStyle w:val="1"/>
        <w:ind w:left="298" w:right="300"/>
        <w:jc w:val="center"/>
      </w:pPr>
      <w:r>
        <w:t>Інформація щодо включення кредитної спілки до Державного реєстру фінансових установ (ДРФУ):</w:t>
      </w:r>
    </w:p>
    <w:p w:rsidR="00D4163A" w:rsidRDefault="00D4163A">
      <w:pPr>
        <w:pStyle w:val="a3"/>
        <w:spacing w:before="8"/>
        <w:ind w:left="0"/>
        <w:rPr>
          <w:b/>
          <w:sz w:val="23"/>
        </w:rPr>
      </w:pPr>
    </w:p>
    <w:p w:rsidR="00D4163A" w:rsidRDefault="004012F1">
      <w:pPr>
        <w:pStyle w:val="a3"/>
        <w:ind w:right="309"/>
      </w:pPr>
      <w:r>
        <w:t xml:space="preserve">Включена до ДРФУ КРЕДИТНОЇ СПІЛКИ «ПРИКАРПАТТЯ»до </w:t>
      </w:r>
      <w:r>
        <w:lastRenderedPageBreak/>
        <w:t>відповідного державного реєстру фінансових установ, а саме: КРЕДИТНА СПІЛКА «ПРИКАРПАТТЯ», серія КС № 109 від 20.04.2004 Свідоцтва про реєстрацію фінансової установи</w:t>
      </w:r>
    </w:p>
    <w:p w:rsidR="00D4163A" w:rsidRDefault="00D4163A">
      <w:pPr>
        <w:pStyle w:val="a3"/>
        <w:ind w:left="0"/>
        <w:rPr>
          <w:sz w:val="30"/>
        </w:rPr>
      </w:pPr>
    </w:p>
    <w:p w:rsidR="00D4163A" w:rsidRDefault="004012F1">
      <w:pPr>
        <w:pStyle w:val="1"/>
        <w:spacing w:before="264" w:line="242" w:lineRule="auto"/>
        <w:ind w:left="303" w:right="290"/>
        <w:jc w:val="center"/>
      </w:pPr>
      <w:r>
        <w:t>Інформацію щодо наявності у кредитної спілки права на надання відповідної фінансової послуги, відомості про ліцензії</w:t>
      </w:r>
    </w:p>
    <w:p w:rsidR="00D4163A" w:rsidRDefault="004012F1">
      <w:pPr>
        <w:pStyle w:val="a3"/>
        <w:spacing w:line="308" w:lineRule="exact"/>
        <w:ind w:left="303" w:right="300"/>
        <w:jc w:val="center"/>
      </w:pPr>
      <w:r>
        <w:t xml:space="preserve">Назва </w:t>
      </w:r>
      <w:r>
        <w:rPr>
          <w:spacing w:val="12"/>
        </w:rPr>
        <w:t xml:space="preserve"> </w:t>
      </w:r>
      <w:r>
        <w:t xml:space="preserve">ліцензії: </w:t>
      </w:r>
      <w:r>
        <w:rPr>
          <w:spacing w:val="14"/>
        </w:rPr>
        <w:t xml:space="preserve"> </w:t>
      </w:r>
      <w:r>
        <w:t xml:space="preserve">1) </w:t>
      </w:r>
      <w:r>
        <w:rPr>
          <w:spacing w:val="15"/>
        </w:rPr>
        <w:t xml:space="preserve"> </w:t>
      </w:r>
      <w:r>
        <w:t xml:space="preserve">залучення </w:t>
      </w:r>
      <w:r>
        <w:rPr>
          <w:spacing w:val="12"/>
        </w:rPr>
        <w:t xml:space="preserve"> </w:t>
      </w:r>
      <w:r>
        <w:t xml:space="preserve">фінансових </w:t>
      </w:r>
      <w:r>
        <w:rPr>
          <w:spacing w:val="12"/>
        </w:rPr>
        <w:t xml:space="preserve"> </w:t>
      </w:r>
      <w:r>
        <w:t xml:space="preserve">активів </w:t>
      </w:r>
      <w:r>
        <w:rPr>
          <w:spacing w:val="16"/>
        </w:rPr>
        <w:t xml:space="preserve"> </w:t>
      </w:r>
      <w:r>
        <w:t xml:space="preserve">із </w:t>
      </w:r>
      <w:r>
        <w:rPr>
          <w:spacing w:val="14"/>
        </w:rPr>
        <w:t xml:space="preserve"> </w:t>
      </w:r>
      <w:r>
        <w:t xml:space="preserve">зобов’язанням </w:t>
      </w:r>
      <w:r>
        <w:rPr>
          <w:spacing w:val="11"/>
        </w:rPr>
        <w:t xml:space="preserve"> </w:t>
      </w:r>
      <w:r>
        <w:t>щодо</w:t>
      </w:r>
    </w:p>
    <w:p w:rsidR="00D4163A" w:rsidRDefault="004012F1">
      <w:pPr>
        <w:pStyle w:val="a3"/>
        <w:tabs>
          <w:tab w:val="left" w:pos="1968"/>
          <w:tab w:val="left" w:pos="2487"/>
          <w:tab w:val="left" w:pos="4181"/>
          <w:tab w:val="left" w:pos="4629"/>
          <w:tab w:val="left" w:pos="5205"/>
          <w:tab w:val="left" w:pos="6457"/>
          <w:tab w:val="left" w:pos="7672"/>
        </w:tabs>
        <w:spacing w:before="2"/>
        <w:ind w:right="300"/>
        <w:jc w:val="center"/>
      </w:pPr>
      <w:r>
        <w:t>наступного</w:t>
      </w:r>
      <w:r>
        <w:tab/>
        <w:t>їх</w:t>
      </w:r>
      <w:r>
        <w:tab/>
        <w:t>повернення</w:t>
      </w:r>
      <w:r>
        <w:tab/>
        <w:t>–</w:t>
      </w:r>
      <w:r>
        <w:tab/>
        <w:t>на</w:t>
      </w:r>
      <w:r>
        <w:tab/>
        <w:t>підставі</w:t>
      </w:r>
      <w:r>
        <w:tab/>
        <w:t>ліцензії</w:t>
      </w:r>
      <w:r>
        <w:tab/>
      </w:r>
      <w:r>
        <w:rPr>
          <w:spacing w:val="-3"/>
        </w:rPr>
        <w:t xml:space="preserve">«ЗАЛУЧЕННЯ </w:t>
      </w:r>
      <w:r>
        <w:t>ФІНАНСОВИХ  АКТИВІВ  ІЗ  ЗОБОВ'ЯЗАННЯМ  ЩОДО</w:t>
      </w:r>
      <w:r>
        <w:rPr>
          <w:spacing w:val="24"/>
        </w:rPr>
        <w:t xml:space="preserve"> </w:t>
      </w:r>
      <w:r>
        <w:t>НАСТУПНОГО</w:t>
      </w:r>
    </w:p>
    <w:p w:rsidR="00D4163A" w:rsidRDefault="004012F1">
      <w:pPr>
        <w:pStyle w:val="a3"/>
        <w:ind w:right="301"/>
        <w:jc w:val="both"/>
      </w:pPr>
      <w:r>
        <w:rPr>
          <w:spacing w:val="-3"/>
        </w:rPr>
        <w:t xml:space="preserve">ЇХ </w:t>
      </w:r>
      <w:r>
        <w:t>ПОВЕРНЕННЯ» (дата рішення: 2</w:t>
      </w:r>
      <w:r w:rsidR="00996DD2">
        <w:t>6</w:t>
      </w:r>
      <w:r>
        <w:t>.01.201</w:t>
      </w:r>
      <w:r w:rsidR="00996DD2">
        <w:t>7</w:t>
      </w:r>
      <w:r>
        <w:t>року (розпорядження Нацкомфінпослуг №</w:t>
      </w:r>
      <w:r w:rsidR="00996DD2">
        <w:t>162)</w:t>
      </w:r>
      <w:r>
        <w:t xml:space="preserve"> та/або гіперпосилання, що забезпечує перенаправлення (відсилання) на сторінку офіційного Інтернет- представництва Національного банку, на якій можливо перевірити такі відомості;</w:t>
      </w:r>
    </w:p>
    <w:p w:rsidR="00D4163A" w:rsidRDefault="004012F1">
      <w:pPr>
        <w:pStyle w:val="a3"/>
        <w:spacing w:line="276" w:lineRule="auto"/>
        <w:ind w:right="297"/>
        <w:jc w:val="both"/>
      </w:pPr>
      <w:r>
        <w:t>2) надання коштів у позику, в тому числі і на умовах фінансового кредиту – на підставі ліцензії «НАДАННЯ КОШТІВ У ПОЗИКУ, В ТОМУ ЧИСЛІ І НА УМОВАХ ФІНАНСОВОГО КРЕДИТУ» (дата рішення: 16.0</w:t>
      </w:r>
      <w:r w:rsidR="00996DD2">
        <w:t>2</w:t>
      </w:r>
      <w:r>
        <w:t xml:space="preserve">.2017 року (розпорядження Нацкомфінпослуг № </w:t>
      </w:r>
      <w:r w:rsidR="00996DD2">
        <w:t>308</w:t>
      </w:r>
      <w:r>
        <w:t>) та/або гіперпосилання, що забезпечує перенаправлення (відсилання) на сторінку офіційного Інтернет- представництва Національного банку, на якій можливо перевірити такі відомості.</w:t>
      </w:r>
    </w:p>
    <w:p w:rsidR="00D4163A" w:rsidRDefault="00996DD2" w:rsidP="00996DD2">
      <w:pPr>
        <w:pStyle w:val="1"/>
        <w:spacing w:before="207" w:line="242" w:lineRule="auto"/>
        <w:ind w:right="298"/>
        <w:jc w:val="both"/>
        <w:rPr>
          <w:b w:val="0"/>
          <w:i/>
        </w:rPr>
      </w:pPr>
      <w:r>
        <w:rPr>
          <w:noProof/>
          <w:lang w:val="ru-RU" w:eastAsia="ru-RU"/>
        </w:rPr>
        <mc:AlternateContent>
          <mc:Choice Requires="wps">
            <w:drawing>
              <wp:anchor distT="0" distB="0" distL="114300" distR="114300" simplePos="0" relativeHeight="15729664" behindDoc="0" locked="0" layoutInCell="1" allowOverlap="1">
                <wp:simplePos x="0" y="0"/>
                <wp:positionH relativeFrom="page">
                  <wp:posOffset>5073650</wp:posOffset>
                </wp:positionH>
                <wp:positionV relativeFrom="paragraph">
                  <wp:posOffset>523240</wp:posOffset>
                </wp:positionV>
                <wp:extent cx="22860" cy="177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9.5pt;margin-top:41.2pt;width:1.8pt;height:1.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fAdAIAAPg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" fillcolor="black" stroked="f">
                <w10:wrap anchorx="page"/>
              </v:rect>
            </w:pict>
          </mc:Fallback>
        </mc:AlternateContent>
      </w:r>
      <w:r w:rsidR="004012F1">
        <w:t>Керівником Кредитної спілки «Народна скарбниця» є Голова правління Кредитної спілки «</w:t>
      </w:r>
      <w:r>
        <w:t>Прикарпаття</w:t>
      </w:r>
      <w:r w:rsidR="004012F1">
        <w:t xml:space="preserve"> »</w:t>
      </w:r>
      <w:r w:rsidR="004012F1">
        <w:rPr>
          <w:u w:val="thick"/>
        </w:rPr>
        <w:t xml:space="preserve"> </w:t>
      </w:r>
      <w:r>
        <w:rPr>
          <w:u w:val="thick"/>
        </w:rPr>
        <w:t>Тимофій Юрій Іванович</w:t>
      </w:r>
      <w:r w:rsidR="004012F1">
        <w:t xml:space="preserve"> </w:t>
      </w:r>
      <w:r w:rsidR="004012F1">
        <w:rPr>
          <w:i/>
        </w:rPr>
        <w:t>.</w:t>
      </w:r>
    </w:p>
    <w:p w:rsidR="00D4163A" w:rsidRDefault="00D4163A">
      <w:pPr>
        <w:pStyle w:val="a3"/>
        <w:spacing w:before="1"/>
        <w:ind w:left="0"/>
        <w:rPr>
          <w:b/>
          <w:i/>
          <w:sz w:val="20"/>
        </w:rPr>
      </w:pPr>
    </w:p>
    <w:p w:rsidR="00D4163A" w:rsidRDefault="004012F1">
      <w:pPr>
        <w:ind w:left="1893" w:hanging="1405"/>
        <w:rPr>
          <w:b/>
          <w:sz w:val="28"/>
        </w:rPr>
      </w:pPr>
      <w:bookmarkStart w:id="0" w:name="_GoBack"/>
      <w:bookmarkEnd w:id="0"/>
      <w:r>
        <w:rPr>
          <w:b/>
          <w:sz w:val="28"/>
        </w:rPr>
        <w:t>Контактна інформація органу, який здійснює державне регулювання щодо діяльності КС у сфері фінансових послуг:</w:t>
      </w:r>
    </w:p>
    <w:p w:rsidR="00D4163A" w:rsidRDefault="004012F1">
      <w:pPr>
        <w:pStyle w:val="a3"/>
        <w:spacing w:line="313" w:lineRule="exact"/>
      </w:pPr>
      <w:r>
        <w:t>Національний банк України (НБУ)</w:t>
      </w:r>
    </w:p>
    <w:p w:rsidR="00D4163A" w:rsidRDefault="004012F1">
      <w:pPr>
        <w:pStyle w:val="a3"/>
        <w:spacing w:line="321" w:lineRule="exact"/>
      </w:pPr>
      <w:r>
        <w:t>Адреса для листування: вул. Інститутська буд. 9, м. Київ-8, 01601.</w:t>
      </w:r>
    </w:p>
    <w:p w:rsidR="00D4163A" w:rsidRDefault="004012F1">
      <w:pPr>
        <w:pStyle w:val="a3"/>
        <w:spacing w:before="2"/>
        <w:ind w:right="309"/>
      </w:pPr>
      <w:r>
        <w:t>Адреса для подання письмових звернень громадян: вул. Інститутська, буд.11-б, м. Київ-8, 01601.</w:t>
      </w:r>
    </w:p>
    <w:p w:rsidR="00D4163A" w:rsidRDefault="004012F1">
      <w:pPr>
        <w:pStyle w:val="a3"/>
        <w:spacing w:line="321" w:lineRule="exact"/>
      </w:pPr>
      <w:r>
        <w:t>Телефон: 0 800 505 240, Пн-Чт 9:00 – 18:00, Пт 9:00 – 16:45.</w:t>
      </w:r>
    </w:p>
    <w:p w:rsidR="00D4163A" w:rsidRDefault="004012F1">
      <w:pPr>
        <w:pStyle w:val="a3"/>
        <w:ind w:right="296"/>
        <w:jc w:val="both"/>
      </w:pPr>
      <w:r>
        <w:t xml:space="preserve">Електронна адреса для подання звернень громадян у форматі docx та pdf з дотримання вимог до оформлення (викладення) письмових та усних звернень згідно Закону України “Про звернення громадян” та рішення Правління Національного банку України від 14 травня 2020 року № 332-рш: </w:t>
      </w:r>
      <w:hyperlink r:id="rId6">
        <w:r>
          <w:t>nbu@bank.gov.ua.</w:t>
        </w:r>
      </w:hyperlink>
    </w:p>
    <w:p w:rsidR="00D4163A" w:rsidRDefault="004012F1">
      <w:pPr>
        <w:pStyle w:val="a3"/>
        <w:spacing w:before="2"/>
        <w:jc w:val="both"/>
      </w:pPr>
      <w:r>
        <w:t>Запис на особистий прийом: тел. 0 800 505 240.</w:t>
      </w:r>
    </w:p>
    <w:sectPr w:rsidR="00D4163A">
      <w:pgSz w:w="11910" w:h="16840"/>
      <w:pgMar w:top="760" w:right="7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EB2"/>
    <w:multiLevelType w:val="hybridMultilevel"/>
    <w:tmpl w:val="5F7A30A2"/>
    <w:lvl w:ilvl="0" w:tplc="323819FA">
      <w:start w:val="3"/>
      <w:numFmt w:val="decimal"/>
      <w:lvlText w:val="%1."/>
      <w:lvlJc w:val="left"/>
      <w:pPr>
        <w:ind w:left="312" w:hanging="376"/>
        <w:jc w:val="left"/>
      </w:pPr>
      <w:rPr>
        <w:rFonts w:ascii="Times New Roman" w:eastAsia="Times New Roman" w:hAnsi="Times New Roman" w:cs="Times New Roman" w:hint="default"/>
        <w:spacing w:val="-9"/>
        <w:w w:val="100"/>
        <w:sz w:val="28"/>
        <w:szCs w:val="28"/>
        <w:lang w:val="uk-UA" w:eastAsia="en-US" w:bidi="ar-SA"/>
      </w:rPr>
    </w:lvl>
    <w:lvl w:ilvl="1" w:tplc="06240CCE">
      <w:numFmt w:val="bullet"/>
      <w:lvlText w:val="•"/>
      <w:lvlJc w:val="left"/>
      <w:pPr>
        <w:ind w:left="1266" w:hanging="376"/>
      </w:pPr>
      <w:rPr>
        <w:rFonts w:hint="default"/>
        <w:lang w:val="uk-UA" w:eastAsia="en-US" w:bidi="ar-SA"/>
      </w:rPr>
    </w:lvl>
    <w:lvl w:ilvl="2" w:tplc="89E8EC4E">
      <w:numFmt w:val="bullet"/>
      <w:lvlText w:val="•"/>
      <w:lvlJc w:val="left"/>
      <w:pPr>
        <w:ind w:left="2213" w:hanging="376"/>
      </w:pPr>
      <w:rPr>
        <w:rFonts w:hint="default"/>
        <w:lang w:val="uk-UA" w:eastAsia="en-US" w:bidi="ar-SA"/>
      </w:rPr>
    </w:lvl>
    <w:lvl w:ilvl="3" w:tplc="2B74842A">
      <w:numFmt w:val="bullet"/>
      <w:lvlText w:val="•"/>
      <w:lvlJc w:val="left"/>
      <w:pPr>
        <w:ind w:left="3160" w:hanging="376"/>
      </w:pPr>
      <w:rPr>
        <w:rFonts w:hint="default"/>
        <w:lang w:val="uk-UA" w:eastAsia="en-US" w:bidi="ar-SA"/>
      </w:rPr>
    </w:lvl>
    <w:lvl w:ilvl="4" w:tplc="DEFACCAA">
      <w:numFmt w:val="bullet"/>
      <w:lvlText w:val="•"/>
      <w:lvlJc w:val="left"/>
      <w:pPr>
        <w:ind w:left="4107" w:hanging="376"/>
      </w:pPr>
      <w:rPr>
        <w:rFonts w:hint="default"/>
        <w:lang w:val="uk-UA" w:eastAsia="en-US" w:bidi="ar-SA"/>
      </w:rPr>
    </w:lvl>
    <w:lvl w:ilvl="5" w:tplc="2D2C4C9A">
      <w:numFmt w:val="bullet"/>
      <w:lvlText w:val="•"/>
      <w:lvlJc w:val="left"/>
      <w:pPr>
        <w:ind w:left="5054" w:hanging="376"/>
      </w:pPr>
      <w:rPr>
        <w:rFonts w:hint="default"/>
        <w:lang w:val="uk-UA" w:eastAsia="en-US" w:bidi="ar-SA"/>
      </w:rPr>
    </w:lvl>
    <w:lvl w:ilvl="6" w:tplc="0E08C0E4">
      <w:numFmt w:val="bullet"/>
      <w:lvlText w:val="•"/>
      <w:lvlJc w:val="left"/>
      <w:pPr>
        <w:ind w:left="6000" w:hanging="376"/>
      </w:pPr>
      <w:rPr>
        <w:rFonts w:hint="default"/>
        <w:lang w:val="uk-UA" w:eastAsia="en-US" w:bidi="ar-SA"/>
      </w:rPr>
    </w:lvl>
    <w:lvl w:ilvl="7" w:tplc="6CA0A330">
      <w:numFmt w:val="bullet"/>
      <w:lvlText w:val="•"/>
      <w:lvlJc w:val="left"/>
      <w:pPr>
        <w:ind w:left="6947" w:hanging="376"/>
      </w:pPr>
      <w:rPr>
        <w:rFonts w:hint="default"/>
        <w:lang w:val="uk-UA" w:eastAsia="en-US" w:bidi="ar-SA"/>
      </w:rPr>
    </w:lvl>
    <w:lvl w:ilvl="8" w:tplc="0E60DC9E">
      <w:numFmt w:val="bullet"/>
      <w:lvlText w:val="•"/>
      <w:lvlJc w:val="left"/>
      <w:pPr>
        <w:ind w:left="7894" w:hanging="376"/>
      </w:pPr>
      <w:rPr>
        <w:rFonts w:hint="default"/>
        <w:lang w:val="uk-UA" w:eastAsia="en-US" w:bidi="ar-SA"/>
      </w:rPr>
    </w:lvl>
  </w:abstractNum>
  <w:abstractNum w:abstractNumId="1">
    <w:nsid w:val="09077A6B"/>
    <w:multiLevelType w:val="hybridMultilevel"/>
    <w:tmpl w:val="3E3CE6EC"/>
    <w:lvl w:ilvl="0" w:tplc="9530CA46">
      <w:start w:val="1"/>
      <w:numFmt w:val="decimal"/>
      <w:lvlText w:val="%1)"/>
      <w:lvlJc w:val="left"/>
      <w:pPr>
        <w:ind w:left="200" w:hanging="400"/>
        <w:jc w:val="left"/>
      </w:pPr>
      <w:rPr>
        <w:rFonts w:ascii="Times New Roman" w:eastAsia="Times New Roman" w:hAnsi="Times New Roman" w:cs="Times New Roman" w:hint="default"/>
        <w:spacing w:val="-5"/>
        <w:w w:val="100"/>
        <w:sz w:val="28"/>
        <w:szCs w:val="28"/>
        <w:lang w:val="uk-UA" w:eastAsia="en-US" w:bidi="ar-SA"/>
      </w:rPr>
    </w:lvl>
    <w:lvl w:ilvl="1" w:tplc="70B06F48">
      <w:numFmt w:val="bullet"/>
      <w:lvlText w:val="•"/>
      <w:lvlJc w:val="left"/>
      <w:pPr>
        <w:ind w:left="1137" w:hanging="400"/>
      </w:pPr>
      <w:rPr>
        <w:rFonts w:hint="default"/>
        <w:lang w:val="uk-UA" w:eastAsia="en-US" w:bidi="ar-SA"/>
      </w:rPr>
    </w:lvl>
    <w:lvl w:ilvl="2" w:tplc="980C76C4">
      <w:numFmt w:val="bullet"/>
      <w:lvlText w:val="•"/>
      <w:lvlJc w:val="left"/>
      <w:pPr>
        <w:ind w:left="2075" w:hanging="400"/>
      </w:pPr>
      <w:rPr>
        <w:rFonts w:hint="default"/>
        <w:lang w:val="uk-UA" w:eastAsia="en-US" w:bidi="ar-SA"/>
      </w:rPr>
    </w:lvl>
    <w:lvl w:ilvl="3" w:tplc="AC42FF76">
      <w:numFmt w:val="bullet"/>
      <w:lvlText w:val="•"/>
      <w:lvlJc w:val="left"/>
      <w:pPr>
        <w:ind w:left="3012" w:hanging="400"/>
      </w:pPr>
      <w:rPr>
        <w:rFonts w:hint="default"/>
        <w:lang w:val="uk-UA" w:eastAsia="en-US" w:bidi="ar-SA"/>
      </w:rPr>
    </w:lvl>
    <w:lvl w:ilvl="4" w:tplc="F06600B0">
      <w:numFmt w:val="bullet"/>
      <w:lvlText w:val="•"/>
      <w:lvlJc w:val="left"/>
      <w:pPr>
        <w:ind w:left="3950" w:hanging="400"/>
      </w:pPr>
      <w:rPr>
        <w:rFonts w:hint="default"/>
        <w:lang w:val="uk-UA" w:eastAsia="en-US" w:bidi="ar-SA"/>
      </w:rPr>
    </w:lvl>
    <w:lvl w:ilvl="5" w:tplc="D1704EBC">
      <w:numFmt w:val="bullet"/>
      <w:lvlText w:val="•"/>
      <w:lvlJc w:val="left"/>
      <w:pPr>
        <w:ind w:left="4887" w:hanging="400"/>
      </w:pPr>
      <w:rPr>
        <w:rFonts w:hint="default"/>
        <w:lang w:val="uk-UA" w:eastAsia="en-US" w:bidi="ar-SA"/>
      </w:rPr>
    </w:lvl>
    <w:lvl w:ilvl="6" w:tplc="E9D8A8E2">
      <w:numFmt w:val="bullet"/>
      <w:lvlText w:val="•"/>
      <w:lvlJc w:val="left"/>
      <w:pPr>
        <w:ind w:left="5825" w:hanging="400"/>
      </w:pPr>
      <w:rPr>
        <w:rFonts w:hint="default"/>
        <w:lang w:val="uk-UA" w:eastAsia="en-US" w:bidi="ar-SA"/>
      </w:rPr>
    </w:lvl>
    <w:lvl w:ilvl="7" w:tplc="6B8EBA64">
      <w:numFmt w:val="bullet"/>
      <w:lvlText w:val="•"/>
      <w:lvlJc w:val="left"/>
      <w:pPr>
        <w:ind w:left="6762" w:hanging="400"/>
      </w:pPr>
      <w:rPr>
        <w:rFonts w:hint="default"/>
        <w:lang w:val="uk-UA" w:eastAsia="en-US" w:bidi="ar-SA"/>
      </w:rPr>
    </w:lvl>
    <w:lvl w:ilvl="8" w:tplc="168E92E6">
      <w:numFmt w:val="bullet"/>
      <w:lvlText w:val="•"/>
      <w:lvlJc w:val="left"/>
      <w:pPr>
        <w:ind w:left="7700" w:hanging="400"/>
      </w:pPr>
      <w:rPr>
        <w:rFonts w:hint="default"/>
        <w:lang w:val="uk-UA" w:eastAsia="en-US" w:bidi="ar-SA"/>
      </w:rPr>
    </w:lvl>
  </w:abstractNum>
  <w:abstractNum w:abstractNumId="2">
    <w:nsid w:val="0CB22FA4"/>
    <w:multiLevelType w:val="hybridMultilevel"/>
    <w:tmpl w:val="EBCEC446"/>
    <w:lvl w:ilvl="0" w:tplc="53CC2A1C">
      <w:start w:val="1"/>
      <w:numFmt w:val="decimal"/>
      <w:lvlText w:val="%1."/>
      <w:lvlJc w:val="left"/>
      <w:pPr>
        <w:ind w:left="200" w:hanging="308"/>
        <w:jc w:val="left"/>
      </w:pPr>
      <w:rPr>
        <w:rFonts w:ascii="Times New Roman" w:eastAsia="Times New Roman" w:hAnsi="Times New Roman" w:cs="Times New Roman" w:hint="default"/>
        <w:w w:val="100"/>
        <w:sz w:val="28"/>
        <w:szCs w:val="28"/>
        <w:lang w:val="uk-UA" w:eastAsia="en-US" w:bidi="ar-SA"/>
      </w:rPr>
    </w:lvl>
    <w:lvl w:ilvl="1" w:tplc="F2BE256E">
      <w:numFmt w:val="bullet"/>
      <w:lvlText w:val="•"/>
      <w:lvlJc w:val="left"/>
      <w:pPr>
        <w:ind w:left="1137" w:hanging="308"/>
      </w:pPr>
      <w:rPr>
        <w:rFonts w:hint="default"/>
        <w:lang w:val="uk-UA" w:eastAsia="en-US" w:bidi="ar-SA"/>
      </w:rPr>
    </w:lvl>
    <w:lvl w:ilvl="2" w:tplc="3FC260B2">
      <w:numFmt w:val="bullet"/>
      <w:lvlText w:val="•"/>
      <w:lvlJc w:val="left"/>
      <w:pPr>
        <w:ind w:left="2075" w:hanging="308"/>
      </w:pPr>
      <w:rPr>
        <w:rFonts w:hint="default"/>
        <w:lang w:val="uk-UA" w:eastAsia="en-US" w:bidi="ar-SA"/>
      </w:rPr>
    </w:lvl>
    <w:lvl w:ilvl="3" w:tplc="02FCED42">
      <w:numFmt w:val="bullet"/>
      <w:lvlText w:val="•"/>
      <w:lvlJc w:val="left"/>
      <w:pPr>
        <w:ind w:left="3012" w:hanging="308"/>
      </w:pPr>
      <w:rPr>
        <w:rFonts w:hint="default"/>
        <w:lang w:val="uk-UA" w:eastAsia="en-US" w:bidi="ar-SA"/>
      </w:rPr>
    </w:lvl>
    <w:lvl w:ilvl="4" w:tplc="9D5A10C6">
      <w:numFmt w:val="bullet"/>
      <w:lvlText w:val="•"/>
      <w:lvlJc w:val="left"/>
      <w:pPr>
        <w:ind w:left="3950" w:hanging="308"/>
      </w:pPr>
      <w:rPr>
        <w:rFonts w:hint="default"/>
        <w:lang w:val="uk-UA" w:eastAsia="en-US" w:bidi="ar-SA"/>
      </w:rPr>
    </w:lvl>
    <w:lvl w:ilvl="5" w:tplc="DAD2307E">
      <w:numFmt w:val="bullet"/>
      <w:lvlText w:val="•"/>
      <w:lvlJc w:val="left"/>
      <w:pPr>
        <w:ind w:left="4887" w:hanging="308"/>
      </w:pPr>
      <w:rPr>
        <w:rFonts w:hint="default"/>
        <w:lang w:val="uk-UA" w:eastAsia="en-US" w:bidi="ar-SA"/>
      </w:rPr>
    </w:lvl>
    <w:lvl w:ilvl="6" w:tplc="D5B0426C">
      <w:numFmt w:val="bullet"/>
      <w:lvlText w:val="•"/>
      <w:lvlJc w:val="left"/>
      <w:pPr>
        <w:ind w:left="5825" w:hanging="308"/>
      </w:pPr>
      <w:rPr>
        <w:rFonts w:hint="default"/>
        <w:lang w:val="uk-UA" w:eastAsia="en-US" w:bidi="ar-SA"/>
      </w:rPr>
    </w:lvl>
    <w:lvl w:ilvl="7" w:tplc="BF82700C">
      <w:numFmt w:val="bullet"/>
      <w:lvlText w:val="•"/>
      <w:lvlJc w:val="left"/>
      <w:pPr>
        <w:ind w:left="6762" w:hanging="308"/>
      </w:pPr>
      <w:rPr>
        <w:rFonts w:hint="default"/>
        <w:lang w:val="uk-UA" w:eastAsia="en-US" w:bidi="ar-SA"/>
      </w:rPr>
    </w:lvl>
    <w:lvl w:ilvl="8" w:tplc="DC703FD4">
      <w:numFmt w:val="bullet"/>
      <w:lvlText w:val="•"/>
      <w:lvlJc w:val="left"/>
      <w:pPr>
        <w:ind w:left="7700" w:hanging="308"/>
      </w:pPr>
      <w:rPr>
        <w:rFonts w:hint="default"/>
        <w:lang w:val="uk-UA" w:eastAsia="en-US" w:bidi="ar-SA"/>
      </w:rPr>
    </w:lvl>
  </w:abstractNum>
  <w:abstractNum w:abstractNumId="3">
    <w:nsid w:val="17F36D86"/>
    <w:multiLevelType w:val="hybridMultilevel"/>
    <w:tmpl w:val="EBD4ED3C"/>
    <w:lvl w:ilvl="0" w:tplc="A08EEB6C">
      <w:start w:val="1"/>
      <w:numFmt w:val="decimal"/>
      <w:lvlText w:val="%1."/>
      <w:lvlJc w:val="left"/>
      <w:pPr>
        <w:ind w:left="312" w:hanging="212"/>
        <w:jc w:val="left"/>
      </w:pPr>
      <w:rPr>
        <w:rFonts w:ascii="Times New Roman" w:eastAsia="Times New Roman" w:hAnsi="Times New Roman" w:cs="Times New Roman" w:hint="default"/>
        <w:w w:val="100"/>
        <w:sz w:val="26"/>
        <w:szCs w:val="26"/>
        <w:lang w:val="uk-UA" w:eastAsia="en-US" w:bidi="ar-SA"/>
      </w:rPr>
    </w:lvl>
    <w:lvl w:ilvl="1" w:tplc="56989504">
      <w:numFmt w:val="bullet"/>
      <w:lvlText w:val="•"/>
      <w:lvlJc w:val="left"/>
      <w:pPr>
        <w:ind w:left="1266" w:hanging="212"/>
      </w:pPr>
      <w:rPr>
        <w:rFonts w:hint="default"/>
        <w:lang w:val="uk-UA" w:eastAsia="en-US" w:bidi="ar-SA"/>
      </w:rPr>
    </w:lvl>
    <w:lvl w:ilvl="2" w:tplc="59068CF0">
      <w:numFmt w:val="bullet"/>
      <w:lvlText w:val="•"/>
      <w:lvlJc w:val="left"/>
      <w:pPr>
        <w:ind w:left="2213" w:hanging="212"/>
      </w:pPr>
      <w:rPr>
        <w:rFonts w:hint="default"/>
        <w:lang w:val="uk-UA" w:eastAsia="en-US" w:bidi="ar-SA"/>
      </w:rPr>
    </w:lvl>
    <w:lvl w:ilvl="3" w:tplc="4AFAE434">
      <w:numFmt w:val="bullet"/>
      <w:lvlText w:val="•"/>
      <w:lvlJc w:val="left"/>
      <w:pPr>
        <w:ind w:left="3160" w:hanging="212"/>
      </w:pPr>
      <w:rPr>
        <w:rFonts w:hint="default"/>
        <w:lang w:val="uk-UA" w:eastAsia="en-US" w:bidi="ar-SA"/>
      </w:rPr>
    </w:lvl>
    <w:lvl w:ilvl="4" w:tplc="2D462C24">
      <w:numFmt w:val="bullet"/>
      <w:lvlText w:val="•"/>
      <w:lvlJc w:val="left"/>
      <w:pPr>
        <w:ind w:left="4107" w:hanging="212"/>
      </w:pPr>
      <w:rPr>
        <w:rFonts w:hint="default"/>
        <w:lang w:val="uk-UA" w:eastAsia="en-US" w:bidi="ar-SA"/>
      </w:rPr>
    </w:lvl>
    <w:lvl w:ilvl="5" w:tplc="BFD003B4">
      <w:numFmt w:val="bullet"/>
      <w:lvlText w:val="•"/>
      <w:lvlJc w:val="left"/>
      <w:pPr>
        <w:ind w:left="5054" w:hanging="212"/>
      </w:pPr>
      <w:rPr>
        <w:rFonts w:hint="default"/>
        <w:lang w:val="uk-UA" w:eastAsia="en-US" w:bidi="ar-SA"/>
      </w:rPr>
    </w:lvl>
    <w:lvl w:ilvl="6" w:tplc="66902BAA">
      <w:numFmt w:val="bullet"/>
      <w:lvlText w:val="•"/>
      <w:lvlJc w:val="left"/>
      <w:pPr>
        <w:ind w:left="6000" w:hanging="212"/>
      </w:pPr>
      <w:rPr>
        <w:rFonts w:hint="default"/>
        <w:lang w:val="uk-UA" w:eastAsia="en-US" w:bidi="ar-SA"/>
      </w:rPr>
    </w:lvl>
    <w:lvl w:ilvl="7" w:tplc="6DE09DC2">
      <w:numFmt w:val="bullet"/>
      <w:lvlText w:val="•"/>
      <w:lvlJc w:val="left"/>
      <w:pPr>
        <w:ind w:left="6947" w:hanging="212"/>
      </w:pPr>
      <w:rPr>
        <w:rFonts w:hint="default"/>
        <w:lang w:val="uk-UA" w:eastAsia="en-US" w:bidi="ar-SA"/>
      </w:rPr>
    </w:lvl>
    <w:lvl w:ilvl="8" w:tplc="B3FC78D8">
      <w:numFmt w:val="bullet"/>
      <w:lvlText w:val="•"/>
      <w:lvlJc w:val="left"/>
      <w:pPr>
        <w:ind w:left="7894" w:hanging="212"/>
      </w:pPr>
      <w:rPr>
        <w:rFonts w:hint="default"/>
        <w:lang w:val="uk-UA" w:eastAsia="en-US" w:bidi="ar-SA"/>
      </w:rPr>
    </w:lvl>
  </w:abstractNum>
  <w:abstractNum w:abstractNumId="4">
    <w:nsid w:val="47135626"/>
    <w:multiLevelType w:val="hybridMultilevel"/>
    <w:tmpl w:val="9358293E"/>
    <w:lvl w:ilvl="0" w:tplc="7D4E956E">
      <w:numFmt w:val="bullet"/>
      <w:lvlText w:val="•"/>
      <w:lvlJc w:val="left"/>
      <w:pPr>
        <w:ind w:left="312" w:hanging="708"/>
      </w:pPr>
      <w:rPr>
        <w:rFonts w:ascii="Times New Roman" w:eastAsia="Times New Roman" w:hAnsi="Times New Roman" w:cs="Times New Roman" w:hint="default"/>
        <w:spacing w:val="-21"/>
        <w:w w:val="100"/>
        <w:sz w:val="28"/>
        <w:szCs w:val="28"/>
        <w:lang w:val="uk-UA" w:eastAsia="en-US" w:bidi="ar-SA"/>
      </w:rPr>
    </w:lvl>
    <w:lvl w:ilvl="1" w:tplc="102A9808">
      <w:numFmt w:val="bullet"/>
      <w:lvlText w:val="•"/>
      <w:lvlJc w:val="left"/>
      <w:pPr>
        <w:ind w:left="1266" w:hanging="708"/>
      </w:pPr>
      <w:rPr>
        <w:rFonts w:hint="default"/>
        <w:lang w:val="uk-UA" w:eastAsia="en-US" w:bidi="ar-SA"/>
      </w:rPr>
    </w:lvl>
    <w:lvl w:ilvl="2" w:tplc="EEC46260">
      <w:numFmt w:val="bullet"/>
      <w:lvlText w:val="•"/>
      <w:lvlJc w:val="left"/>
      <w:pPr>
        <w:ind w:left="2213" w:hanging="708"/>
      </w:pPr>
      <w:rPr>
        <w:rFonts w:hint="default"/>
        <w:lang w:val="uk-UA" w:eastAsia="en-US" w:bidi="ar-SA"/>
      </w:rPr>
    </w:lvl>
    <w:lvl w:ilvl="3" w:tplc="5EEAA912">
      <w:numFmt w:val="bullet"/>
      <w:lvlText w:val="•"/>
      <w:lvlJc w:val="left"/>
      <w:pPr>
        <w:ind w:left="3160" w:hanging="708"/>
      </w:pPr>
      <w:rPr>
        <w:rFonts w:hint="default"/>
        <w:lang w:val="uk-UA" w:eastAsia="en-US" w:bidi="ar-SA"/>
      </w:rPr>
    </w:lvl>
    <w:lvl w:ilvl="4" w:tplc="886C38D8">
      <w:numFmt w:val="bullet"/>
      <w:lvlText w:val="•"/>
      <w:lvlJc w:val="left"/>
      <w:pPr>
        <w:ind w:left="4107" w:hanging="708"/>
      </w:pPr>
      <w:rPr>
        <w:rFonts w:hint="default"/>
        <w:lang w:val="uk-UA" w:eastAsia="en-US" w:bidi="ar-SA"/>
      </w:rPr>
    </w:lvl>
    <w:lvl w:ilvl="5" w:tplc="3D8EB970">
      <w:numFmt w:val="bullet"/>
      <w:lvlText w:val="•"/>
      <w:lvlJc w:val="left"/>
      <w:pPr>
        <w:ind w:left="5054" w:hanging="708"/>
      </w:pPr>
      <w:rPr>
        <w:rFonts w:hint="default"/>
        <w:lang w:val="uk-UA" w:eastAsia="en-US" w:bidi="ar-SA"/>
      </w:rPr>
    </w:lvl>
    <w:lvl w:ilvl="6" w:tplc="A8AA1572">
      <w:numFmt w:val="bullet"/>
      <w:lvlText w:val="•"/>
      <w:lvlJc w:val="left"/>
      <w:pPr>
        <w:ind w:left="6000" w:hanging="708"/>
      </w:pPr>
      <w:rPr>
        <w:rFonts w:hint="default"/>
        <w:lang w:val="uk-UA" w:eastAsia="en-US" w:bidi="ar-SA"/>
      </w:rPr>
    </w:lvl>
    <w:lvl w:ilvl="7" w:tplc="08B8E33A">
      <w:numFmt w:val="bullet"/>
      <w:lvlText w:val="•"/>
      <w:lvlJc w:val="left"/>
      <w:pPr>
        <w:ind w:left="6947" w:hanging="708"/>
      </w:pPr>
      <w:rPr>
        <w:rFonts w:hint="default"/>
        <w:lang w:val="uk-UA" w:eastAsia="en-US" w:bidi="ar-SA"/>
      </w:rPr>
    </w:lvl>
    <w:lvl w:ilvl="8" w:tplc="B5842042">
      <w:numFmt w:val="bullet"/>
      <w:lvlText w:val="•"/>
      <w:lvlJc w:val="left"/>
      <w:pPr>
        <w:ind w:left="7894" w:hanging="708"/>
      </w:pPr>
      <w:rPr>
        <w:rFonts w:hint="default"/>
        <w:lang w:val="uk-UA" w:eastAsia="en-US" w:bidi="ar-SA"/>
      </w:rPr>
    </w:lvl>
  </w:abstractNum>
  <w:abstractNum w:abstractNumId="5">
    <w:nsid w:val="6C1650D5"/>
    <w:multiLevelType w:val="hybridMultilevel"/>
    <w:tmpl w:val="87DC6508"/>
    <w:lvl w:ilvl="0" w:tplc="3EC80B5E">
      <w:start w:val="1"/>
      <w:numFmt w:val="decimal"/>
      <w:lvlText w:val="%1."/>
      <w:lvlJc w:val="left"/>
      <w:pPr>
        <w:ind w:left="312" w:hanging="212"/>
        <w:jc w:val="left"/>
      </w:pPr>
      <w:rPr>
        <w:rFonts w:ascii="Times New Roman" w:eastAsia="Times New Roman" w:hAnsi="Times New Roman" w:cs="Times New Roman" w:hint="default"/>
        <w:w w:val="100"/>
        <w:sz w:val="26"/>
        <w:szCs w:val="26"/>
        <w:lang w:val="uk-UA" w:eastAsia="en-US" w:bidi="ar-SA"/>
      </w:rPr>
    </w:lvl>
    <w:lvl w:ilvl="1" w:tplc="6A48DAE8">
      <w:numFmt w:val="bullet"/>
      <w:lvlText w:val="•"/>
      <w:lvlJc w:val="left"/>
      <w:pPr>
        <w:ind w:left="1266" w:hanging="212"/>
      </w:pPr>
      <w:rPr>
        <w:rFonts w:hint="default"/>
        <w:lang w:val="uk-UA" w:eastAsia="en-US" w:bidi="ar-SA"/>
      </w:rPr>
    </w:lvl>
    <w:lvl w:ilvl="2" w:tplc="AFF6FF60">
      <w:numFmt w:val="bullet"/>
      <w:lvlText w:val="•"/>
      <w:lvlJc w:val="left"/>
      <w:pPr>
        <w:ind w:left="2213" w:hanging="212"/>
      </w:pPr>
      <w:rPr>
        <w:rFonts w:hint="default"/>
        <w:lang w:val="uk-UA" w:eastAsia="en-US" w:bidi="ar-SA"/>
      </w:rPr>
    </w:lvl>
    <w:lvl w:ilvl="3" w:tplc="CDBA0250">
      <w:numFmt w:val="bullet"/>
      <w:lvlText w:val="•"/>
      <w:lvlJc w:val="left"/>
      <w:pPr>
        <w:ind w:left="3160" w:hanging="212"/>
      </w:pPr>
      <w:rPr>
        <w:rFonts w:hint="default"/>
        <w:lang w:val="uk-UA" w:eastAsia="en-US" w:bidi="ar-SA"/>
      </w:rPr>
    </w:lvl>
    <w:lvl w:ilvl="4" w:tplc="110E98C8">
      <w:numFmt w:val="bullet"/>
      <w:lvlText w:val="•"/>
      <w:lvlJc w:val="left"/>
      <w:pPr>
        <w:ind w:left="4107" w:hanging="212"/>
      </w:pPr>
      <w:rPr>
        <w:rFonts w:hint="default"/>
        <w:lang w:val="uk-UA" w:eastAsia="en-US" w:bidi="ar-SA"/>
      </w:rPr>
    </w:lvl>
    <w:lvl w:ilvl="5" w:tplc="BCD6E694">
      <w:numFmt w:val="bullet"/>
      <w:lvlText w:val="•"/>
      <w:lvlJc w:val="left"/>
      <w:pPr>
        <w:ind w:left="5054" w:hanging="212"/>
      </w:pPr>
      <w:rPr>
        <w:rFonts w:hint="default"/>
        <w:lang w:val="uk-UA" w:eastAsia="en-US" w:bidi="ar-SA"/>
      </w:rPr>
    </w:lvl>
    <w:lvl w:ilvl="6" w:tplc="4BD823FE">
      <w:numFmt w:val="bullet"/>
      <w:lvlText w:val="•"/>
      <w:lvlJc w:val="left"/>
      <w:pPr>
        <w:ind w:left="6000" w:hanging="212"/>
      </w:pPr>
      <w:rPr>
        <w:rFonts w:hint="default"/>
        <w:lang w:val="uk-UA" w:eastAsia="en-US" w:bidi="ar-SA"/>
      </w:rPr>
    </w:lvl>
    <w:lvl w:ilvl="7" w:tplc="41B2DA4C">
      <w:numFmt w:val="bullet"/>
      <w:lvlText w:val="•"/>
      <w:lvlJc w:val="left"/>
      <w:pPr>
        <w:ind w:left="6947" w:hanging="212"/>
      </w:pPr>
      <w:rPr>
        <w:rFonts w:hint="default"/>
        <w:lang w:val="uk-UA" w:eastAsia="en-US" w:bidi="ar-SA"/>
      </w:rPr>
    </w:lvl>
    <w:lvl w:ilvl="8" w:tplc="0EA06E6A">
      <w:numFmt w:val="bullet"/>
      <w:lvlText w:val="•"/>
      <w:lvlJc w:val="left"/>
      <w:pPr>
        <w:ind w:left="7894" w:hanging="212"/>
      </w:pPr>
      <w:rPr>
        <w:rFonts w:hint="default"/>
        <w:lang w:val="uk-UA" w:eastAsia="en-US" w:bidi="ar-SA"/>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3A"/>
    <w:rsid w:val="004012F1"/>
    <w:rsid w:val="00996DD2"/>
    <w:rsid w:val="00D41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pPr>
    <w:rPr>
      <w:sz w:val="28"/>
      <w:szCs w:val="28"/>
    </w:rPr>
  </w:style>
  <w:style w:type="paragraph" w:styleId="a4">
    <w:name w:val="List Paragraph"/>
    <w:basedOn w:val="a"/>
    <w:uiPriority w:val="1"/>
    <w:qFormat/>
    <w:pPr>
      <w:ind w:left="312" w:right="672"/>
      <w:jc w:val="both"/>
    </w:pPr>
  </w:style>
  <w:style w:type="paragraph" w:customStyle="1" w:styleId="TableParagraph">
    <w:name w:val="Table Paragraph"/>
    <w:basedOn w:val="a"/>
    <w:uiPriority w:val="1"/>
    <w:qFormat/>
    <w:pPr>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pPr>
    <w:rPr>
      <w:sz w:val="28"/>
      <w:szCs w:val="28"/>
    </w:rPr>
  </w:style>
  <w:style w:type="paragraph" w:styleId="a4">
    <w:name w:val="List Paragraph"/>
    <w:basedOn w:val="a"/>
    <w:uiPriority w:val="1"/>
    <w:qFormat/>
    <w:pPr>
      <w:ind w:left="312" w:right="672"/>
      <w:jc w:val="both"/>
    </w:pPr>
  </w:style>
  <w:style w:type="paragraph" w:customStyle="1" w:styleId="TableParagraph">
    <w:name w:val="Table Paragraph"/>
    <w:basedOn w:val="a"/>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u@ban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Ira</cp:lastModifiedBy>
  <cp:revision>2</cp:revision>
  <dcterms:created xsi:type="dcterms:W3CDTF">2023-04-18T11:08:00Z</dcterms:created>
  <dcterms:modified xsi:type="dcterms:W3CDTF">2023-04-18T11:08:00Z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2010</vt:lpwstr>
  </property>
  <property fmtid="{D5CDD505-2E9C-101B-9397-08002B2CF9AE}" pid="4" name="LastSaved">
    <vt:filetime>2023-04-18T00:00:00Z</vt:filetime>
  </property>
</Properties>
</file>